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EC" w:rsidRDefault="001E55EC" w:rsidP="001E55EC">
      <w:pPr>
        <w:rPr>
          <w:rFonts w:ascii="Times New Roman" w:hAnsi="Times New Roman" w:cs="Times New Roman"/>
          <w:b/>
          <w:color w:val="C00000"/>
          <w:sz w:val="32"/>
          <w:szCs w:val="32"/>
        </w:rPr>
      </w:pPr>
      <w:r>
        <w:rPr>
          <w:rFonts w:ascii="Times New Roman" w:hAnsi="Times New Roman" w:cs="Times New Roman"/>
          <w:b/>
          <w:noProof/>
          <w:color w:val="C00000"/>
          <w:sz w:val="32"/>
          <w:szCs w:val="32"/>
        </w:rPr>
        <w:drawing>
          <wp:inline distT="0" distB="0" distL="0" distR="0" wp14:anchorId="118599CA" wp14:editId="4D6994E7">
            <wp:extent cx="2771775" cy="68505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6">
                      <a:extLst>
                        <a:ext uri="{28A0092B-C50C-407E-A947-70E740481C1C}">
                          <a14:useLocalDpi xmlns:a14="http://schemas.microsoft.com/office/drawing/2010/main" val="0"/>
                        </a:ext>
                      </a:extLst>
                    </a:blip>
                    <a:srcRect r="28757"/>
                    <a:stretch/>
                  </pic:blipFill>
                  <pic:spPr bwMode="auto">
                    <a:xfrm>
                      <a:off x="0" y="0"/>
                      <a:ext cx="2784705" cy="68824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hint="eastAsia"/>
          <w:b/>
          <w:color w:val="C00000"/>
          <w:sz w:val="32"/>
          <w:szCs w:val="32"/>
        </w:rPr>
        <w:t xml:space="preserve">  </w:t>
      </w:r>
    </w:p>
    <w:p w:rsidR="00754A34" w:rsidRPr="00D86C8E" w:rsidRDefault="00754A34" w:rsidP="001E55EC">
      <w:pPr>
        <w:spacing w:before="120" w:line="400" w:lineRule="exact"/>
        <w:jc w:val="both"/>
        <w:rPr>
          <w:rFonts w:ascii="Times New Roman" w:hAnsi="Times New Roman" w:cs="Times New Roman"/>
          <w:b/>
          <w:sz w:val="20"/>
          <w:szCs w:val="20"/>
        </w:rPr>
      </w:pPr>
    </w:p>
    <w:p w:rsidR="00754A34" w:rsidRDefault="001E55EC" w:rsidP="001E55EC">
      <w:pPr>
        <w:spacing w:before="120" w:line="400" w:lineRule="exact"/>
        <w:jc w:val="both"/>
        <w:rPr>
          <w:rFonts w:cs="Times New Roman"/>
          <w:sz w:val="24"/>
          <w:szCs w:val="24"/>
        </w:rPr>
      </w:pPr>
      <w:r w:rsidRPr="0064305C">
        <w:rPr>
          <w:rFonts w:cs="Times New Roman"/>
          <w:b/>
          <w:sz w:val="24"/>
          <w:szCs w:val="24"/>
        </w:rPr>
        <w:t xml:space="preserve">Overview: </w:t>
      </w:r>
      <w:r w:rsidRPr="0064305C">
        <w:rPr>
          <w:rFonts w:cs="Times New Roman"/>
          <w:sz w:val="24"/>
          <w:szCs w:val="24"/>
        </w:rPr>
        <w:t>thi</w:t>
      </w:r>
      <w:r w:rsidR="00D86C8E">
        <w:rPr>
          <w:rFonts w:cs="Times New Roman"/>
          <w:sz w:val="24"/>
          <w:szCs w:val="24"/>
        </w:rPr>
        <w:t>s report is devoted to apply</w:t>
      </w:r>
      <w:r w:rsidRPr="0064305C">
        <w:rPr>
          <w:rFonts w:cs="Times New Roman"/>
          <w:sz w:val="24"/>
          <w:szCs w:val="24"/>
        </w:rPr>
        <w:t xml:space="preserve"> </w:t>
      </w:r>
      <w:r w:rsidR="00D86C8E">
        <w:rPr>
          <w:rFonts w:cs="Times New Roman"/>
          <w:sz w:val="24"/>
          <w:szCs w:val="24"/>
        </w:rPr>
        <w:t>three</w:t>
      </w:r>
      <w:r w:rsidR="00D86C8E">
        <w:rPr>
          <w:rFonts w:cs="Times New Roman" w:hint="eastAsia"/>
          <w:sz w:val="24"/>
          <w:szCs w:val="24"/>
        </w:rPr>
        <w:t xml:space="preserve"> </w:t>
      </w:r>
      <w:r w:rsidR="00D86C8E">
        <w:rPr>
          <w:rFonts w:cs="Times New Roman"/>
          <w:sz w:val="24"/>
          <w:szCs w:val="24"/>
        </w:rPr>
        <w:t>valuation m</w:t>
      </w:r>
      <w:r w:rsidR="00D86C8E">
        <w:rPr>
          <w:rFonts w:cs="Times New Roman" w:hint="eastAsia"/>
          <w:sz w:val="24"/>
          <w:szCs w:val="24"/>
        </w:rPr>
        <w:t>odel</w:t>
      </w:r>
      <w:r w:rsidR="00D86C8E">
        <w:rPr>
          <w:rFonts w:cs="Times New Roman"/>
          <w:sz w:val="24"/>
          <w:szCs w:val="24"/>
        </w:rPr>
        <w:t xml:space="preserve">s: DCF </w:t>
      </w:r>
      <w:r w:rsidR="00D86C8E">
        <w:rPr>
          <w:rFonts w:cs="Times New Roman" w:hint="eastAsia"/>
          <w:sz w:val="24"/>
          <w:szCs w:val="24"/>
        </w:rPr>
        <w:t>model</w:t>
      </w:r>
      <w:r w:rsidRPr="0064305C">
        <w:rPr>
          <w:rFonts w:cs="Times New Roman"/>
          <w:sz w:val="24"/>
          <w:szCs w:val="24"/>
        </w:rPr>
        <w:t>, relative valuation</w:t>
      </w:r>
      <w:r w:rsidR="00340945">
        <w:rPr>
          <w:rFonts w:cs="Times New Roman" w:hint="eastAsia"/>
          <w:sz w:val="24"/>
          <w:szCs w:val="24"/>
        </w:rPr>
        <w:t xml:space="preserve"> model</w:t>
      </w:r>
      <w:r w:rsidRPr="0064305C">
        <w:rPr>
          <w:rFonts w:cs="Times New Roman"/>
          <w:sz w:val="24"/>
          <w:szCs w:val="24"/>
        </w:rPr>
        <w:t>, and control transaction valuation</w:t>
      </w:r>
      <w:r w:rsidR="00340945">
        <w:rPr>
          <w:rFonts w:cs="Times New Roman" w:hint="eastAsia"/>
          <w:sz w:val="24"/>
          <w:szCs w:val="24"/>
        </w:rPr>
        <w:t xml:space="preserve"> model</w:t>
      </w:r>
      <w:r w:rsidRPr="0064305C">
        <w:rPr>
          <w:rFonts w:cs="Times New Roman"/>
          <w:sz w:val="24"/>
          <w:szCs w:val="24"/>
        </w:rPr>
        <w:t>, to value the firm C&amp;J Energy Services (NY</w:t>
      </w:r>
      <w:r w:rsidR="00340945">
        <w:rPr>
          <w:rFonts w:cs="Times New Roman"/>
          <w:sz w:val="24"/>
          <w:szCs w:val="24"/>
        </w:rPr>
        <w:t xml:space="preserve">SE: CJES). This report starts </w:t>
      </w:r>
      <w:r w:rsidR="00340945">
        <w:rPr>
          <w:rFonts w:cs="Times New Roman" w:hint="eastAsia"/>
          <w:sz w:val="24"/>
          <w:szCs w:val="24"/>
        </w:rPr>
        <w:t xml:space="preserve">with </w:t>
      </w:r>
      <w:r w:rsidRPr="0064305C">
        <w:rPr>
          <w:rFonts w:cs="Times New Roman"/>
          <w:sz w:val="24"/>
          <w:szCs w:val="24"/>
        </w:rPr>
        <w:t>SWOT</w:t>
      </w:r>
      <w:r w:rsidR="00340945">
        <w:rPr>
          <w:rFonts w:cs="Times New Roman" w:hint="eastAsia"/>
          <w:sz w:val="24"/>
          <w:szCs w:val="24"/>
        </w:rPr>
        <w:t xml:space="preserve"> analysis</w:t>
      </w:r>
      <w:r w:rsidRPr="0064305C">
        <w:rPr>
          <w:rFonts w:cs="Times New Roman"/>
          <w:sz w:val="24"/>
          <w:szCs w:val="24"/>
        </w:rPr>
        <w:t xml:space="preserve">, </w:t>
      </w:r>
      <w:r w:rsidR="00340945">
        <w:rPr>
          <w:rFonts w:cs="Times New Roman"/>
          <w:sz w:val="24"/>
          <w:szCs w:val="24"/>
        </w:rPr>
        <w:t xml:space="preserve">especially focusing on </w:t>
      </w:r>
      <w:r w:rsidR="00340945">
        <w:rPr>
          <w:rFonts w:cs="Times New Roman" w:hint="eastAsia"/>
          <w:sz w:val="24"/>
          <w:szCs w:val="24"/>
        </w:rPr>
        <w:t>potential</w:t>
      </w:r>
      <w:r w:rsidRPr="0064305C">
        <w:rPr>
          <w:rFonts w:cs="Times New Roman"/>
          <w:sz w:val="24"/>
          <w:szCs w:val="24"/>
        </w:rPr>
        <w:t xml:space="preserve"> risks and o</w:t>
      </w:r>
      <w:r w:rsidR="00340945">
        <w:rPr>
          <w:rFonts w:cs="Times New Roman"/>
          <w:sz w:val="24"/>
          <w:szCs w:val="24"/>
        </w:rPr>
        <w:t>pportunities</w:t>
      </w:r>
      <w:r w:rsidR="00340945">
        <w:rPr>
          <w:rFonts w:cs="Times New Roman" w:hint="eastAsia"/>
          <w:sz w:val="24"/>
          <w:szCs w:val="24"/>
        </w:rPr>
        <w:t>, as well as</w:t>
      </w:r>
      <w:r w:rsidR="00340945">
        <w:rPr>
          <w:rFonts w:cs="Times New Roman"/>
          <w:sz w:val="24"/>
          <w:szCs w:val="24"/>
        </w:rPr>
        <w:t xml:space="preserve"> their</w:t>
      </w:r>
      <w:r w:rsidRPr="0064305C">
        <w:rPr>
          <w:rFonts w:cs="Times New Roman"/>
          <w:sz w:val="24"/>
          <w:szCs w:val="24"/>
        </w:rPr>
        <w:t xml:space="preserve"> impact. Next, the report will </w:t>
      </w:r>
      <w:r w:rsidR="00340945">
        <w:rPr>
          <w:rFonts w:cs="Times New Roman" w:hint="eastAsia"/>
          <w:sz w:val="24"/>
          <w:szCs w:val="24"/>
        </w:rPr>
        <w:t>simply introduce</w:t>
      </w:r>
      <w:r w:rsidRPr="0064305C">
        <w:rPr>
          <w:rFonts w:cs="Times New Roman"/>
          <w:sz w:val="24"/>
          <w:szCs w:val="24"/>
        </w:rPr>
        <w:t xml:space="preserve"> the energy sector</w:t>
      </w:r>
      <w:r w:rsidR="00340945">
        <w:rPr>
          <w:rFonts w:cs="Times New Roman" w:hint="eastAsia"/>
          <w:sz w:val="24"/>
          <w:szCs w:val="24"/>
        </w:rPr>
        <w:t xml:space="preserve"> and go through</w:t>
      </w:r>
      <w:r w:rsidR="00340945">
        <w:rPr>
          <w:rFonts w:cs="Times New Roman"/>
          <w:sz w:val="24"/>
          <w:szCs w:val="24"/>
        </w:rPr>
        <w:t xml:space="preserve"> </w:t>
      </w:r>
      <w:r w:rsidR="00340945">
        <w:rPr>
          <w:rFonts w:cs="Times New Roman" w:hint="eastAsia"/>
          <w:sz w:val="24"/>
          <w:szCs w:val="24"/>
        </w:rPr>
        <w:t>the</w:t>
      </w:r>
      <w:r w:rsidRPr="0064305C">
        <w:rPr>
          <w:rFonts w:cs="Times New Roman"/>
          <w:sz w:val="24"/>
          <w:szCs w:val="24"/>
        </w:rPr>
        <w:t xml:space="preserve"> competitor analys</w:t>
      </w:r>
      <w:r w:rsidR="00340945">
        <w:rPr>
          <w:rFonts w:cs="Times New Roman"/>
          <w:sz w:val="24"/>
          <w:szCs w:val="24"/>
        </w:rPr>
        <w:t>is</w:t>
      </w:r>
      <w:r w:rsidR="00340945">
        <w:rPr>
          <w:rFonts w:cs="Times New Roman" w:hint="eastAsia"/>
          <w:sz w:val="24"/>
          <w:szCs w:val="24"/>
        </w:rPr>
        <w:t>.</w:t>
      </w:r>
      <w:r w:rsidR="00340945">
        <w:rPr>
          <w:rFonts w:cs="Times New Roman"/>
          <w:sz w:val="24"/>
          <w:szCs w:val="24"/>
        </w:rPr>
        <w:t xml:space="preserve"> </w:t>
      </w:r>
      <w:r w:rsidR="00340945">
        <w:rPr>
          <w:rFonts w:cs="Times New Roman" w:hint="eastAsia"/>
          <w:sz w:val="24"/>
          <w:szCs w:val="24"/>
        </w:rPr>
        <w:t xml:space="preserve">The above </w:t>
      </w:r>
      <w:r w:rsidRPr="0064305C">
        <w:rPr>
          <w:rFonts w:cs="Times New Roman"/>
          <w:sz w:val="24"/>
          <w:szCs w:val="24"/>
        </w:rPr>
        <w:t>qualitative analysis will then help decide assumptions in the following quantitative valuation models. This report will go into details of each valuation method with data support in exhibits.</w:t>
      </w:r>
      <w:r w:rsidR="007F0ACF">
        <w:rPr>
          <w:rFonts w:cs="Times New Roman" w:hint="eastAsia"/>
          <w:sz w:val="24"/>
          <w:szCs w:val="24"/>
        </w:rPr>
        <w:t xml:space="preserve"> </w:t>
      </w:r>
    </w:p>
    <w:p w:rsidR="00340945" w:rsidRDefault="00340945" w:rsidP="001E55EC">
      <w:pPr>
        <w:spacing w:before="120" w:line="400" w:lineRule="exact"/>
        <w:jc w:val="both"/>
        <w:rPr>
          <w:rFonts w:cs="Times New Roman"/>
          <w:sz w:val="24"/>
          <w:szCs w:val="24"/>
        </w:rPr>
      </w:pPr>
    </w:p>
    <w:p w:rsidR="00340945" w:rsidRPr="0064305C" w:rsidRDefault="00340945" w:rsidP="001E55EC">
      <w:pPr>
        <w:spacing w:before="120" w:line="400" w:lineRule="exact"/>
        <w:jc w:val="both"/>
        <w:rPr>
          <w:rFonts w:cs="Times New Roman"/>
          <w:sz w:val="24"/>
          <w:szCs w:val="24"/>
        </w:rPr>
      </w:pPr>
    </w:p>
    <w:p w:rsidR="001E55EC" w:rsidRPr="008C615B" w:rsidRDefault="00B12BEC" w:rsidP="001E55EC">
      <w:pPr>
        <w:rPr>
          <w:rFonts w:ascii="Times New Roman" w:hAnsi="Times New Roman" w:cs="Times New Roman"/>
          <w:sz w:val="26"/>
          <w:szCs w:val="26"/>
        </w:rPr>
      </w:pPr>
      <w:r w:rsidRPr="00B12BEC">
        <w:rPr>
          <w:rFonts w:hint="eastAsia"/>
          <w:noProof/>
        </w:rPr>
        <w:drawing>
          <wp:inline distT="0" distB="0" distL="0" distR="0" wp14:anchorId="2ADB45D7" wp14:editId="39132531">
            <wp:extent cx="2924175" cy="1949450"/>
            <wp:effectExtent l="19050" t="19050" r="2857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949450"/>
                    </a:xfrm>
                    <a:prstGeom prst="rect">
                      <a:avLst/>
                    </a:prstGeom>
                    <a:noFill/>
                    <a:ln w="3175">
                      <a:solidFill>
                        <a:schemeClr val="tx1"/>
                      </a:solidFill>
                    </a:ln>
                  </pic:spPr>
                </pic:pic>
              </a:graphicData>
            </a:graphic>
          </wp:inline>
        </w:drawing>
      </w:r>
    </w:p>
    <w:p w:rsidR="001E55EC" w:rsidRDefault="001E55EC" w:rsidP="001E55EC">
      <w:pPr>
        <w:rPr>
          <w:rFonts w:ascii="Times New Roman" w:hAnsi="Times New Roman" w:cs="Times New Roman"/>
          <w:b/>
          <w:color w:val="C00000"/>
          <w:sz w:val="32"/>
          <w:szCs w:val="32"/>
        </w:rPr>
      </w:pPr>
    </w:p>
    <w:p w:rsidR="00CE07BC" w:rsidRPr="0064305C" w:rsidRDefault="0064305C" w:rsidP="0064305C">
      <w:pPr>
        <w:shd w:val="clear" w:color="auto" w:fill="0070C0"/>
        <w:jc w:val="center"/>
        <w:rPr>
          <w:rFonts w:cs="Times New Roman"/>
          <w:b/>
          <w:color w:val="FFFFFF" w:themeColor="background1"/>
          <w:sz w:val="28"/>
          <w:szCs w:val="28"/>
        </w:rPr>
      </w:pPr>
      <w:r w:rsidRPr="0064305C">
        <w:rPr>
          <w:rFonts w:cs="Times New Roman"/>
          <w:b/>
          <w:color w:val="FFFFFF" w:themeColor="background1"/>
          <w:sz w:val="28"/>
          <w:szCs w:val="28"/>
        </w:rPr>
        <w:t>The University</w:t>
      </w:r>
      <w:r w:rsidR="001E55EC" w:rsidRPr="0064305C">
        <w:rPr>
          <w:rFonts w:cs="Times New Roman"/>
          <w:b/>
          <w:color w:val="FFFFFF" w:themeColor="background1"/>
          <w:sz w:val="28"/>
          <w:szCs w:val="28"/>
        </w:rPr>
        <w:t xml:space="preserve"> of Texas at Dallas</w:t>
      </w:r>
    </w:p>
    <w:p w:rsidR="0064305C" w:rsidRDefault="0064305C" w:rsidP="00CE07BC">
      <w:pPr>
        <w:shd w:val="clear" w:color="auto" w:fill="0070C0"/>
        <w:jc w:val="center"/>
        <w:rPr>
          <w:rFonts w:ascii="Times New Roman" w:hAnsi="Times New Roman" w:cs="Times New Roman"/>
          <w:color w:val="FFFFFF" w:themeColor="background1"/>
          <w:sz w:val="28"/>
          <w:szCs w:val="28"/>
        </w:rPr>
      </w:pPr>
    </w:p>
    <w:p w:rsidR="001E55EC" w:rsidRPr="0064305C" w:rsidRDefault="00323A38" w:rsidP="00323A38">
      <w:pPr>
        <w:shd w:val="clear" w:color="auto" w:fill="0070C0"/>
        <w:jc w:val="center"/>
        <w:rPr>
          <w:rFonts w:cs="Times New Roman"/>
          <w:color w:val="FFFFFF" w:themeColor="background1"/>
          <w:sz w:val="24"/>
          <w:szCs w:val="24"/>
        </w:rPr>
      </w:pPr>
      <w:r>
        <w:rPr>
          <w:rFonts w:cs="Times New Roman" w:hint="eastAsia"/>
          <w:color w:val="FFFFFF" w:themeColor="background1"/>
          <w:sz w:val="24"/>
          <w:szCs w:val="24"/>
        </w:rPr>
        <w:t>Julie</w:t>
      </w:r>
      <w:r w:rsidR="001E55EC" w:rsidRPr="0064305C">
        <w:rPr>
          <w:rFonts w:cs="Times New Roman"/>
          <w:color w:val="FFFFFF" w:themeColor="background1"/>
          <w:sz w:val="24"/>
          <w:szCs w:val="24"/>
        </w:rPr>
        <w:t xml:space="preserve"> Wang</w:t>
      </w:r>
    </w:p>
    <w:p w:rsidR="00323A38" w:rsidRPr="00323A38" w:rsidRDefault="00323A38" w:rsidP="00323A38">
      <w:pPr>
        <w:shd w:val="clear" w:color="auto" w:fill="0070C0"/>
        <w:jc w:val="center"/>
        <w:rPr>
          <w:rFonts w:cs="Times New Roman"/>
          <w:sz w:val="24"/>
          <w:szCs w:val="24"/>
          <w:u w:val="single"/>
        </w:rPr>
      </w:pPr>
      <w:r w:rsidRPr="00323A38">
        <w:rPr>
          <w:rFonts w:cs="Times New Roman" w:hint="eastAsia"/>
          <w:color w:val="FFFFFF" w:themeColor="background1"/>
          <w:sz w:val="24"/>
          <w:szCs w:val="24"/>
          <w:u w:val="single"/>
        </w:rPr>
        <w:t>julie.wang712</w:t>
      </w:r>
      <w:r w:rsidRPr="00323A38">
        <w:rPr>
          <w:rFonts w:cs="Times New Roman"/>
          <w:color w:val="FFFFFF" w:themeColor="background1"/>
          <w:sz w:val="24"/>
          <w:szCs w:val="24"/>
          <w:u w:val="single"/>
        </w:rPr>
        <w:t>@</w:t>
      </w:r>
      <w:r w:rsidRPr="00323A38">
        <w:rPr>
          <w:rFonts w:cs="Times New Roman" w:hint="eastAsia"/>
          <w:color w:val="FFFFFF" w:themeColor="background1"/>
          <w:sz w:val="24"/>
          <w:szCs w:val="24"/>
          <w:u w:val="single"/>
        </w:rPr>
        <w:t>gmail.com</w:t>
      </w:r>
    </w:p>
    <w:p w:rsidR="001E55EC" w:rsidRPr="0064305C" w:rsidRDefault="001E55EC" w:rsidP="00323A38">
      <w:pPr>
        <w:shd w:val="clear" w:color="auto" w:fill="0070C0"/>
        <w:jc w:val="center"/>
        <w:rPr>
          <w:rFonts w:cs="Times New Roman"/>
          <w:color w:val="FFFFFF" w:themeColor="background1"/>
          <w:sz w:val="24"/>
          <w:szCs w:val="24"/>
        </w:rPr>
      </w:pPr>
      <w:r w:rsidRPr="0064305C">
        <w:rPr>
          <w:rFonts w:cs="Times New Roman"/>
          <w:color w:val="FFFFFF" w:themeColor="background1"/>
          <w:sz w:val="24"/>
          <w:szCs w:val="24"/>
        </w:rPr>
        <w:t>4/15/2013</w:t>
      </w:r>
    </w:p>
    <w:p w:rsidR="00754A34" w:rsidRPr="00BA199B" w:rsidRDefault="00754A34" w:rsidP="00432F58">
      <w:pPr>
        <w:shd w:val="clear" w:color="auto" w:fill="EEECE1" w:themeFill="background2"/>
        <w:rPr>
          <w:rFonts w:ascii="Times New Roman" w:hAnsi="Times New Roman" w:cs="Times New Roman"/>
          <w:b/>
          <w:color w:val="C00000"/>
          <w:sz w:val="16"/>
          <w:szCs w:val="16"/>
        </w:rPr>
      </w:pPr>
    </w:p>
    <w:p w:rsidR="001E55EC" w:rsidRPr="0064305C" w:rsidRDefault="001E55EC" w:rsidP="00432F58">
      <w:pPr>
        <w:shd w:val="clear" w:color="auto" w:fill="EEECE1" w:themeFill="background2"/>
        <w:rPr>
          <w:rFonts w:cs="Times New Roman"/>
          <w:b/>
          <w:color w:val="C00000"/>
          <w:sz w:val="28"/>
          <w:szCs w:val="28"/>
        </w:rPr>
      </w:pPr>
      <w:r w:rsidRPr="0064305C">
        <w:rPr>
          <w:rFonts w:cs="Times New Roman"/>
          <w:b/>
          <w:color w:val="C00000"/>
          <w:sz w:val="28"/>
          <w:szCs w:val="28"/>
        </w:rPr>
        <w:t>Report Outline</w:t>
      </w:r>
    </w:p>
    <w:p w:rsidR="001E55EC" w:rsidRPr="0064305C" w:rsidRDefault="001D1275" w:rsidP="00432F58">
      <w:pPr>
        <w:shd w:val="clear" w:color="auto" w:fill="EEECE1" w:themeFill="background2"/>
        <w:rPr>
          <w:rFonts w:cs="Times New Roman"/>
          <w:sz w:val="24"/>
          <w:szCs w:val="24"/>
        </w:rPr>
      </w:pPr>
      <w:r w:rsidRPr="0064305C">
        <w:rPr>
          <w:rFonts w:cs="Times New Roman"/>
          <w:sz w:val="26"/>
          <w:szCs w:val="26"/>
        </w:rPr>
        <w:t xml:space="preserve">    </w:t>
      </w:r>
      <w:proofErr w:type="gramStart"/>
      <w:r w:rsidRPr="0064305C">
        <w:rPr>
          <w:rFonts w:cs="Times New Roman"/>
          <w:sz w:val="16"/>
          <w:szCs w:val="16"/>
        </w:rPr>
        <w:t>●</w:t>
      </w:r>
      <w:r w:rsidRPr="0064305C">
        <w:rPr>
          <w:rFonts w:cs="Times New Roman"/>
          <w:sz w:val="24"/>
          <w:szCs w:val="24"/>
        </w:rPr>
        <w:t xml:space="preserve">  </w:t>
      </w:r>
      <w:r w:rsidR="001E55EC" w:rsidRPr="0064305C">
        <w:rPr>
          <w:rFonts w:cs="Times New Roman"/>
          <w:sz w:val="24"/>
          <w:szCs w:val="24"/>
        </w:rPr>
        <w:t>Overview</w:t>
      </w:r>
      <w:proofErr w:type="gramEnd"/>
    </w:p>
    <w:p w:rsidR="001E55EC" w:rsidRPr="0064305C" w:rsidRDefault="001D1275" w:rsidP="00AD66B1">
      <w:pPr>
        <w:shd w:val="clear" w:color="auto" w:fill="EEECE1" w:themeFill="background2"/>
        <w:ind w:firstLine="255"/>
        <w:rPr>
          <w:rFonts w:cs="Times New Roman"/>
          <w:sz w:val="24"/>
          <w:szCs w:val="24"/>
        </w:rPr>
      </w:pPr>
      <w:proofErr w:type="gramStart"/>
      <w:r w:rsidRPr="0064305C">
        <w:rPr>
          <w:rFonts w:cs="Times New Roman"/>
          <w:sz w:val="16"/>
          <w:szCs w:val="16"/>
        </w:rPr>
        <w:t>●</w:t>
      </w:r>
      <w:r w:rsidRPr="0064305C">
        <w:rPr>
          <w:rFonts w:cs="Times New Roman"/>
          <w:sz w:val="24"/>
          <w:szCs w:val="24"/>
        </w:rPr>
        <w:t xml:space="preserve">  </w:t>
      </w:r>
      <w:r w:rsidR="001E55EC" w:rsidRPr="0064305C">
        <w:rPr>
          <w:rFonts w:cs="Times New Roman"/>
          <w:sz w:val="24"/>
          <w:szCs w:val="24"/>
        </w:rPr>
        <w:t>SWOT</w:t>
      </w:r>
      <w:proofErr w:type="gramEnd"/>
      <w:r w:rsidR="001E55EC" w:rsidRPr="0064305C">
        <w:rPr>
          <w:rFonts w:cs="Times New Roman"/>
          <w:sz w:val="24"/>
          <w:szCs w:val="24"/>
        </w:rPr>
        <w:t xml:space="preserve"> Analysis</w:t>
      </w:r>
    </w:p>
    <w:p w:rsidR="00AD66B1" w:rsidRPr="0064305C" w:rsidRDefault="00AD66B1" w:rsidP="00AD66B1">
      <w:pPr>
        <w:shd w:val="clear" w:color="auto" w:fill="EEECE1" w:themeFill="background2"/>
        <w:ind w:firstLine="255"/>
        <w:rPr>
          <w:rFonts w:cs="Times New Roman"/>
          <w:sz w:val="24"/>
          <w:szCs w:val="24"/>
        </w:rPr>
      </w:pPr>
      <w:proofErr w:type="gramStart"/>
      <w:r w:rsidRPr="0064305C">
        <w:rPr>
          <w:rFonts w:cs="Times New Roman"/>
          <w:sz w:val="16"/>
          <w:szCs w:val="16"/>
        </w:rPr>
        <w:t>●</w:t>
      </w:r>
      <w:r w:rsidRPr="0064305C">
        <w:rPr>
          <w:rFonts w:cs="Times New Roman"/>
          <w:sz w:val="24"/>
          <w:szCs w:val="24"/>
        </w:rPr>
        <w:t xml:space="preserve">  Industry</w:t>
      </w:r>
      <w:proofErr w:type="gramEnd"/>
      <w:r w:rsidRPr="0064305C">
        <w:rPr>
          <w:rFonts w:cs="Times New Roman"/>
          <w:sz w:val="24"/>
          <w:szCs w:val="24"/>
        </w:rPr>
        <w:t xml:space="preserve"> Outlook</w:t>
      </w:r>
    </w:p>
    <w:p w:rsidR="001E55EC" w:rsidRPr="0064305C" w:rsidRDefault="001D1275" w:rsidP="00432F58">
      <w:pPr>
        <w:shd w:val="clear" w:color="auto" w:fill="EEECE1" w:themeFill="background2"/>
        <w:rPr>
          <w:rFonts w:cs="Times New Roman"/>
          <w:sz w:val="24"/>
          <w:szCs w:val="24"/>
        </w:rPr>
      </w:pPr>
      <w:r w:rsidRPr="0064305C">
        <w:rPr>
          <w:rFonts w:cs="Times New Roman"/>
          <w:sz w:val="24"/>
          <w:szCs w:val="24"/>
        </w:rPr>
        <w:t xml:space="preserve">    </w:t>
      </w:r>
      <w:proofErr w:type="gramStart"/>
      <w:r w:rsidRPr="0064305C">
        <w:rPr>
          <w:rFonts w:cs="Times New Roman"/>
          <w:sz w:val="16"/>
          <w:szCs w:val="16"/>
        </w:rPr>
        <w:t>●</w:t>
      </w:r>
      <w:r w:rsidRPr="0064305C">
        <w:rPr>
          <w:rFonts w:cs="Times New Roman"/>
          <w:sz w:val="24"/>
          <w:szCs w:val="24"/>
        </w:rPr>
        <w:t xml:space="preserve">  </w:t>
      </w:r>
      <w:r w:rsidR="001E55EC" w:rsidRPr="0064305C">
        <w:rPr>
          <w:rFonts w:cs="Times New Roman"/>
          <w:sz w:val="24"/>
          <w:szCs w:val="24"/>
        </w:rPr>
        <w:t>Major</w:t>
      </w:r>
      <w:proofErr w:type="gramEnd"/>
      <w:r w:rsidR="001E55EC" w:rsidRPr="0064305C">
        <w:rPr>
          <w:rFonts w:cs="Times New Roman"/>
          <w:sz w:val="24"/>
          <w:szCs w:val="24"/>
        </w:rPr>
        <w:t xml:space="preserve"> Competitors</w:t>
      </w:r>
    </w:p>
    <w:p w:rsidR="001E55EC" w:rsidRPr="0064305C" w:rsidRDefault="001D1275" w:rsidP="00432F58">
      <w:pPr>
        <w:shd w:val="clear" w:color="auto" w:fill="EEECE1" w:themeFill="background2"/>
        <w:rPr>
          <w:rFonts w:cs="Times New Roman"/>
          <w:color w:val="B6DDE8" w:themeColor="accent5" w:themeTint="66"/>
          <w:sz w:val="24"/>
          <w:szCs w:val="24"/>
        </w:rPr>
      </w:pPr>
      <w:r w:rsidRPr="0064305C">
        <w:rPr>
          <w:rFonts w:cs="Times New Roman"/>
          <w:sz w:val="24"/>
          <w:szCs w:val="24"/>
        </w:rPr>
        <w:t xml:space="preserve">    </w:t>
      </w:r>
      <w:proofErr w:type="gramStart"/>
      <w:r w:rsidRPr="0064305C">
        <w:rPr>
          <w:rFonts w:cs="Times New Roman"/>
          <w:sz w:val="16"/>
          <w:szCs w:val="16"/>
        </w:rPr>
        <w:t>●</w:t>
      </w:r>
      <w:r w:rsidRPr="0064305C">
        <w:rPr>
          <w:rFonts w:cs="Times New Roman"/>
          <w:sz w:val="24"/>
          <w:szCs w:val="24"/>
        </w:rPr>
        <w:t xml:space="preserve">  </w:t>
      </w:r>
      <w:r w:rsidR="00340945">
        <w:rPr>
          <w:rFonts w:cs="Times New Roman"/>
          <w:sz w:val="24"/>
          <w:szCs w:val="24"/>
        </w:rPr>
        <w:t>DCF</w:t>
      </w:r>
      <w:proofErr w:type="gramEnd"/>
      <w:r w:rsidR="00340945">
        <w:rPr>
          <w:rFonts w:cs="Times New Roman"/>
          <w:sz w:val="24"/>
          <w:szCs w:val="24"/>
        </w:rPr>
        <w:t xml:space="preserve"> </w:t>
      </w:r>
      <w:r w:rsidR="00340945">
        <w:rPr>
          <w:rFonts w:cs="Times New Roman" w:hint="eastAsia"/>
          <w:sz w:val="24"/>
          <w:szCs w:val="24"/>
        </w:rPr>
        <w:t>Model</w:t>
      </w:r>
    </w:p>
    <w:p w:rsidR="001E55EC" w:rsidRPr="0064305C" w:rsidRDefault="001D1275" w:rsidP="00432F58">
      <w:pPr>
        <w:shd w:val="clear" w:color="auto" w:fill="EEECE1" w:themeFill="background2"/>
        <w:rPr>
          <w:rFonts w:cs="Times New Roman"/>
          <w:sz w:val="24"/>
          <w:szCs w:val="24"/>
        </w:rPr>
      </w:pPr>
      <w:r w:rsidRPr="0064305C">
        <w:rPr>
          <w:rFonts w:cs="Times New Roman"/>
          <w:sz w:val="24"/>
          <w:szCs w:val="24"/>
        </w:rPr>
        <w:t xml:space="preserve">    </w:t>
      </w:r>
      <w:proofErr w:type="gramStart"/>
      <w:r w:rsidRPr="0064305C">
        <w:rPr>
          <w:rFonts w:cs="Times New Roman"/>
          <w:sz w:val="16"/>
          <w:szCs w:val="16"/>
        </w:rPr>
        <w:t>●</w:t>
      </w:r>
      <w:r w:rsidRPr="0064305C">
        <w:rPr>
          <w:rFonts w:cs="Times New Roman"/>
          <w:sz w:val="24"/>
          <w:szCs w:val="24"/>
        </w:rPr>
        <w:t xml:space="preserve">  </w:t>
      </w:r>
      <w:r w:rsidR="001E55EC" w:rsidRPr="0064305C">
        <w:rPr>
          <w:rFonts w:cs="Times New Roman"/>
          <w:sz w:val="24"/>
          <w:szCs w:val="24"/>
        </w:rPr>
        <w:t>Relative</w:t>
      </w:r>
      <w:proofErr w:type="gramEnd"/>
      <w:r w:rsidR="001E55EC" w:rsidRPr="0064305C">
        <w:rPr>
          <w:rFonts w:cs="Times New Roman"/>
          <w:sz w:val="24"/>
          <w:szCs w:val="24"/>
        </w:rPr>
        <w:t xml:space="preserve"> Valuation</w:t>
      </w:r>
    </w:p>
    <w:p w:rsidR="001E55EC" w:rsidRPr="0064305C" w:rsidRDefault="001D1275" w:rsidP="00432F58">
      <w:pPr>
        <w:shd w:val="clear" w:color="auto" w:fill="EEECE1" w:themeFill="background2"/>
        <w:rPr>
          <w:rFonts w:cs="Times New Roman"/>
          <w:sz w:val="24"/>
          <w:szCs w:val="24"/>
        </w:rPr>
      </w:pPr>
      <w:r w:rsidRPr="0064305C">
        <w:rPr>
          <w:rFonts w:cs="Times New Roman"/>
          <w:sz w:val="24"/>
          <w:szCs w:val="24"/>
        </w:rPr>
        <w:t xml:space="preserve">    </w:t>
      </w:r>
      <w:proofErr w:type="gramStart"/>
      <w:r w:rsidRPr="0064305C">
        <w:rPr>
          <w:rFonts w:cs="Times New Roman"/>
          <w:sz w:val="16"/>
          <w:szCs w:val="16"/>
        </w:rPr>
        <w:t>●</w:t>
      </w:r>
      <w:r w:rsidRPr="0064305C">
        <w:rPr>
          <w:rFonts w:cs="Times New Roman"/>
          <w:sz w:val="24"/>
          <w:szCs w:val="24"/>
        </w:rPr>
        <w:t xml:space="preserve">  </w:t>
      </w:r>
      <w:r w:rsidR="001E55EC" w:rsidRPr="0064305C">
        <w:rPr>
          <w:rFonts w:cs="Times New Roman"/>
          <w:sz w:val="24"/>
          <w:szCs w:val="24"/>
        </w:rPr>
        <w:t>Control</w:t>
      </w:r>
      <w:proofErr w:type="gramEnd"/>
      <w:r w:rsidR="001E55EC" w:rsidRPr="0064305C">
        <w:rPr>
          <w:rFonts w:cs="Times New Roman"/>
          <w:sz w:val="24"/>
          <w:szCs w:val="24"/>
        </w:rPr>
        <w:t xml:space="preserve"> Transaction</w:t>
      </w:r>
    </w:p>
    <w:p w:rsidR="001E55EC" w:rsidRDefault="001D1275" w:rsidP="001F4FD0">
      <w:pPr>
        <w:shd w:val="clear" w:color="auto" w:fill="EEECE1" w:themeFill="background2"/>
        <w:spacing w:after="0"/>
        <w:ind w:firstLine="210"/>
        <w:rPr>
          <w:rFonts w:cs="Times New Roman"/>
          <w:sz w:val="24"/>
          <w:szCs w:val="24"/>
        </w:rPr>
      </w:pPr>
      <w:proofErr w:type="gramStart"/>
      <w:r w:rsidRPr="0064305C">
        <w:rPr>
          <w:rFonts w:cs="Times New Roman"/>
          <w:sz w:val="16"/>
          <w:szCs w:val="16"/>
        </w:rPr>
        <w:t>●</w:t>
      </w:r>
      <w:r w:rsidRPr="0064305C">
        <w:rPr>
          <w:rFonts w:cs="Times New Roman"/>
          <w:sz w:val="24"/>
          <w:szCs w:val="24"/>
        </w:rPr>
        <w:t xml:space="preserve">  </w:t>
      </w:r>
      <w:r w:rsidR="001E55EC" w:rsidRPr="0064305C">
        <w:rPr>
          <w:rFonts w:cs="Times New Roman"/>
          <w:sz w:val="24"/>
          <w:szCs w:val="24"/>
        </w:rPr>
        <w:t>Conclusion</w:t>
      </w:r>
      <w:proofErr w:type="gramEnd"/>
    </w:p>
    <w:p w:rsidR="001F4FD0" w:rsidRPr="0064305C" w:rsidRDefault="001F4FD0" w:rsidP="001F4FD0">
      <w:pPr>
        <w:shd w:val="clear" w:color="auto" w:fill="EEECE1" w:themeFill="background2"/>
        <w:spacing w:after="0"/>
        <w:ind w:firstLine="210"/>
        <w:rPr>
          <w:rFonts w:cs="Times New Roman"/>
          <w:sz w:val="24"/>
          <w:szCs w:val="24"/>
        </w:rPr>
      </w:pPr>
    </w:p>
    <w:p w:rsidR="001E55EC" w:rsidRPr="00BA199B" w:rsidRDefault="001E55EC" w:rsidP="001F4FD0">
      <w:pPr>
        <w:shd w:val="clear" w:color="auto" w:fill="EEECE1" w:themeFill="background2"/>
        <w:spacing w:after="0"/>
        <w:rPr>
          <w:rFonts w:cs="Times New Roman"/>
          <w:color w:val="C00000"/>
          <w:sz w:val="12"/>
          <w:szCs w:val="12"/>
        </w:rPr>
      </w:pPr>
    </w:p>
    <w:p w:rsidR="001E55EC" w:rsidRPr="0064305C" w:rsidRDefault="001E55EC" w:rsidP="001F4FD0">
      <w:pPr>
        <w:shd w:val="clear" w:color="auto" w:fill="EEECE1" w:themeFill="background2"/>
        <w:spacing w:after="0"/>
        <w:rPr>
          <w:rFonts w:cs="Times New Roman"/>
          <w:b/>
          <w:color w:val="C00000"/>
          <w:sz w:val="28"/>
          <w:szCs w:val="28"/>
        </w:rPr>
      </w:pPr>
      <w:r w:rsidRPr="0064305C">
        <w:rPr>
          <w:rFonts w:cs="Times New Roman"/>
          <w:b/>
          <w:color w:val="C00000"/>
          <w:sz w:val="28"/>
          <w:szCs w:val="28"/>
        </w:rPr>
        <w:t>Exhibits</w:t>
      </w:r>
    </w:p>
    <w:p w:rsidR="00E27120" w:rsidRPr="0064305C" w:rsidRDefault="00E27120" w:rsidP="00E27120">
      <w:pPr>
        <w:shd w:val="clear" w:color="auto" w:fill="EEECE1" w:themeFill="background2"/>
        <w:ind w:firstLine="255"/>
        <w:rPr>
          <w:rFonts w:cs="Times New Roman"/>
          <w:sz w:val="24"/>
          <w:szCs w:val="24"/>
        </w:rPr>
      </w:pPr>
      <w:proofErr w:type="gramStart"/>
      <w:r w:rsidRPr="0064305C">
        <w:rPr>
          <w:rFonts w:cs="Times New Roman"/>
          <w:sz w:val="16"/>
          <w:szCs w:val="16"/>
        </w:rPr>
        <w:t>●</w:t>
      </w:r>
      <w:r w:rsidRPr="0064305C">
        <w:rPr>
          <w:rFonts w:cs="Times New Roman"/>
          <w:sz w:val="24"/>
          <w:szCs w:val="24"/>
        </w:rPr>
        <w:t xml:space="preserve">  DCF</w:t>
      </w:r>
      <w:proofErr w:type="gramEnd"/>
      <w:r w:rsidRPr="0064305C">
        <w:rPr>
          <w:rFonts w:cs="Times New Roman"/>
          <w:sz w:val="24"/>
          <w:szCs w:val="24"/>
        </w:rPr>
        <w:t xml:space="preserve"> and Sensitivity Table</w:t>
      </w:r>
    </w:p>
    <w:p w:rsidR="00E27120" w:rsidRPr="0064305C" w:rsidRDefault="00E27120" w:rsidP="00E27120">
      <w:pPr>
        <w:shd w:val="clear" w:color="auto" w:fill="EEECE1" w:themeFill="background2"/>
        <w:ind w:firstLine="255"/>
        <w:rPr>
          <w:rFonts w:cs="Times New Roman"/>
          <w:sz w:val="24"/>
          <w:szCs w:val="24"/>
        </w:rPr>
      </w:pPr>
      <w:proofErr w:type="gramStart"/>
      <w:r w:rsidRPr="0064305C">
        <w:rPr>
          <w:rFonts w:cs="Times New Roman"/>
          <w:sz w:val="16"/>
          <w:szCs w:val="16"/>
        </w:rPr>
        <w:t>●</w:t>
      </w:r>
      <w:r w:rsidRPr="0064305C">
        <w:rPr>
          <w:rFonts w:cs="Times New Roman"/>
          <w:sz w:val="24"/>
          <w:szCs w:val="24"/>
        </w:rPr>
        <w:t xml:space="preserve">  WACC</w:t>
      </w:r>
      <w:proofErr w:type="gramEnd"/>
    </w:p>
    <w:p w:rsidR="001D1275" w:rsidRPr="0064305C" w:rsidRDefault="00E27120" w:rsidP="00754A34">
      <w:pPr>
        <w:shd w:val="clear" w:color="auto" w:fill="EEECE1" w:themeFill="background2"/>
        <w:ind w:firstLine="240"/>
        <w:rPr>
          <w:rFonts w:cs="Times New Roman"/>
          <w:sz w:val="24"/>
          <w:szCs w:val="24"/>
        </w:rPr>
      </w:pPr>
      <w:proofErr w:type="gramStart"/>
      <w:r w:rsidRPr="0064305C">
        <w:rPr>
          <w:rFonts w:cs="Times New Roman"/>
          <w:sz w:val="16"/>
          <w:szCs w:val="16"/>
        </w:rPr>
        <w:t>●</w:t>
      </w:r>
      <w:r w:rsidRPr="0064305C">
        <w:rPr>
          <w:rFonts w:cs="Times New Roman"/>
          <w:sz w:val="24"/>
          <w:szCs w:val="24"/>
        </w:rPr>
        <w:t xml:space="preserve">  MACRS</w:t>
      </w:r>
      <w:proofErr w:type="gramEnd"/>
      <w:r w:rsidRPr="0064305C">
        <w:rPr>
          <w:rFonts w:cs="Times New Roman"/>
          <w:sz w:val="24"/>
          <w:szCs w:val="24"/>
        </w:rPr>
        <w:t xml:space="preserve"> and D&amp;A</w:t>
      </w:r>
    </w:p>
    <w:p w:rsidR="00754A34" w:rsidRPr="00BA199B" w:rsidRDefault="00754A34" w:rsidP="00754A34">
      <w:pPr>
        <w:shd w:val="clear" w:color="auto" w:fill="EEECE1" w:themeFill="background2"/>
        <w:ind w:firstLine="240"/>
        <w:rPr>
          <w:rFonts w:cs="Times New Roman"/>
          <w:sz w:val="12"/>
          <w:szCs w:val="12"/>
        </w:rPr>
      </w:pPr>
    </w:p>
    <w:p w:rsidR="00BB2C8E" w:rsidRDefault="001D1275" w:rsidP="001D1275">
      <w:pPr>
        <w:shd w:val="clear" w:color="auto" w:fill="0070C0"/>
        <w:spacing w:line="240" w:lineRule="auto"/>
        <w:mirrorIndents/>
        <w:rPr>
          <w:rFonts w:cs="Times New Roman"/>
          <w:i/>
          <w:color w:val="FFFFFF" w:themeColor="background1"/>
          <w:sz w:val="20"/>
          <w:szCs w:val="20"/>
        </w:rPr>
        <w:sectPr w:rsidR="00BB2C8E" w:rsidSect="00754A3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432"/>
          <w:docGrid w:linePitch="360"/>
        </w:sectPr>
      </w:pPr>
      <w:r w:rsidRPr="00BA199B">
        <w:rPr>
          <w:rFonts w:cs="Times New Roman"/>
          <w:i/>
          <w:color w:val="FFFFFF" w:themeColor="background1"/>
          <w:sz w:val="20"/>
          <w:szCs w:val="20"/>
        </w:rPr>
        <w:t>The report was written using personal efforts of the editor. No outside help was given and all opinions mentioned thereafter in the report are the sole personal opinions of the writer.</w:t>
      </w:r>
    </w:p>
    <w:p w:rsidR="00BB2C8E" w:rsidRPr="00C13812" w:rsidRDefault="00BB2C8E" w:rsidP="00BB2C8E">
      <w:pPr>
        <w:rPr>
          <w:rFonts w:cs="Times New Roman"/>
          <w:b/>
          <w:color w:val="C00000"/>
          <w:sz w:val="32"/>
          <w:szCs w:val="32"/>
        </w:rPr>
      </w:pPr>
      <w:r w:rsidRPr="00C13812">
        <w:rPr>
          <w:rFonts w:cs="Times New Roman"/>
          <w:b/>
          <w:noProof/>
          <w:color w:val="C00000"/>
          <w:sz w:val="32"/>
          <w:szCs w:val="32"/>
        </w:rPr>
        <w:lastRenderedPageBreak/>
        <mc:AlternateContent>
          <mc:Choice Requires="wps">
            <w:drawing>
              <wp:anchor distT="4294967295" distB="4294967295" distL="114300" distR="114300" simplePos="0" relativeHeight="251661312" behindDoc="0" locked="0" layoutInCell="1" allowOverlap="1" wp14:anchorId="74461B82" wp14:editId="409A525F">
                <wp:simplePos x="0" y="0"/>
                <wp:positionH relativeFrom="column">
                  <wp:posOffset>-123825</wp:posOffset>
                </wp:positionH>
                <wp:positionV relativeFrom="paragraph">
                  <wp:posOffset>295274</wp:posOffset>
                </wp:positionV>
                <wp:extent cx="628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3.25pt" to="485.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" strokecolor="#4f81bd [3204]" strokeweight="2pt">
                <o:lock v:ext="edit" shapetype="f"/>
              </v:line>
            </w:pict>
          </mc:Fallback>
        </mc:AlternateContent>
      </w:r>
      <w:r w:rsidRPr="00C13812">
        <w:rPr>
          <w:rFonts w:cs="Times New Roman"/>
          <w:b/>
          <w:color w:val="C00000"/>
          <w:sz w:val="32"/>
          <w:szCs w:val="32"/>
        </w:rPr>
        <w:t>SWOT Analysis</w:t>
      </w:r>
    </w:p>
    <w:p w:rsidR="00BB2C8E" w:rsidRPr="00C13812" w:rsidRDefault="00BB2C8E" w:rsidP="00D86C8E">
      <w:pPr>
        <w:spacing w:after="0"/>
        <w:rPr>
          <w:rFonts w:cs="Times New Roman"/>
          <w:b/>
          <w:sz w:val="24"/>
          <w:szCs w:val="24"/>
        </w:rPr>
      </w:pPr>
      <w:r w:rsidRPr="00C13812">
        <w:rPr>
          <w:rFonts w:cs="Times New Roman"/>
          <w:b/>
          <w:sz w:val="24"/>
          <w:szCs w:val="24"/>
        </w:rPr>
        <w:t>Strengths</w:t>
      </w:r>
    </w:p>
    <w:p w:rsidR="00BB2C8E" w:rsidRPr="00C13812" w:rsidRDefault="00BB2C8E" w:rsidP="00D86C8E">
      <w:pPr>
        <w:pStyle w:val="ListParagraph"/>
        <w:numPr>
          <w:ilvl w:val="0"/>
          <w:numId w:val="4"/>
        </w:numPr>
        <w:spacing w:after="0"/>
        <w:rPr>
          <w:rFonts w:cs="Times New Roman"/>
          <w:sz w:val="24"/>
          <w:szCs w:val="24"/>
        </w:rPr>
      </w:pPr>
      <w:r w:rsidRPr="00C13812">
        <w:rPr>
          <w:rFonts w:cs="Times New Roman"/>
          <w:sz w:val="24"/>
          <w:szCs w:val="24"/>
        </w:rPr>
        <w:t>CJES has a relatively low debt level. Compared with a 40% industry average debt over total capital ratio, CJES only has 13.6%. It indicates that CJES has less liquidity risk and stronger financing ability.</w:t>
      </w:r>
    </w:p>
    <w:p w:rsidR="00BB2C8E" w:rsidRPr="00C13812" w:rsidRDefault="00BB2C8E" w:rsidP="00D86C8E">
      <w:pPr>
        <w:pStyle w:val="ListParagraph"/>
        <w:numPr>
          <w:ilvl w:val="0"/>
          <w:numId w:val="4"/>
        </w:numPr>
        <w:spacing w:after="0"/>
        <w:rPr>
          <w:rFonts w:cs="Times New Roman"/>
          <w:sz w:val="24"/>
          <w:szCs w:val="24"/>
        </w:rPr>
      </w:pPr>
      <w:r w:rsidRPr="00C13812">
        <w:rPr>
          <w:rFonts w:cs="Times New Roman"/>
          <w:sz w:val="24"/>
          <w:szCs w:val="24"/>
        </w:rPr>
        <w:t xml:space="preserve">CJES has a growing presence in intensive services of completion activities in unconventional resource formation, which will have a positive long-term impact on the demand of services. </w:t>
      </w:r>
    </w:p>
    <w:p w:rsidR="00BB2C8E" w:rsidRPr="00C13812" w:rsidRDefault="00BB2C8E" w:rsidP="00D86C8E">
      <w:pPr>
        <w:pStyle w:val="ListParagraph"/>
        <w:numPr>
          <w:ilvl w:val="0"/>
          <w:numId w:val="4"/>
        </w:numPr>
        <w:spacing w:after="0"/>
        <w:rPr>
          <w:rFonts w:cs="Times New Roman"/>
          <w:sz w:val="24"/>
          <w:szCs w:val="24"/>
        </w:rPr>
      </w:pPr>
      <w:r w:rsidRPr="00C13812">
        <w:rPr>
          <w:rFonts w:cs="Times New Roman"/>
          <w:sz w:val="24"/>
          <w:szCs w:val="24"/>
        </w:rPr>
        <w:t>CJES has outstanding workforce that plays an important role in improving technology and then reducing costs.</w:t>
      </w:r>
    </w:p>
    <w:p w:rsidR="00BB2C8E" w:rsidRPr="00C13812" w:rsidRDefault="00BB2C8E" w:rsidP="00D86C8E">
      <w:pPr>
        <w:pStyle w:val="ListParagraph"/>
        <w:numPr>
          <w:ilvl w:val="0"/>
          <w:numId w:val="4"/>
        </w:numPr>
        <w:spacing w:after="0"/>
        <w:rPr>
          <w:rFonts w:cs="Times New Roman"/>
          <w:sz w:val="24"/>
          <w:szCs w:val="24"/>
        </w:rPr>
      </w:pPr>
      <w:r w:rsidRPr="00C13812">
        <w:rPr>
          <w:rFonts w:cs="Times New Roman"/>
          <w:sz w:val="24"/>
          <w:szCs w:val="24"/>
        </w:rPr>
        <w:t>CJES is expected to receive increasing domestic and international long-term capital investment on the development of completion activities.</w:t>
      </w:r>
      <w:r>
        <w:rPr>
          <w:rFonts w:cs="Times New Roman" w:hint="eastAsia"/>
          <w:sz w:val="24"/>
          <w:szCs w:val="24"/>
        </w:rPr>
        <w:t xml:space="preserve"> CJES will be able to purchase more properties and equipment to boost its production.</w:t>
      </w:r>
    </w:p>
    <w:p w:rsidR="00D86C8E" w:rsidRDefault="00D86C8E" w:rsidP="00D86C8E">
      <w:pPr>
        <w:spacing w:after="0"/>
        <w:rPr>
          <w:rFonts w:cs="Times New Roman"/>
          <w:b/>
          <w:sz w:val="24"/>
          <w:szCs w:val="24"/>
        </w:rPr>
      </w:pPr>
    </w:p>
    <w:p w:rsidR="00BB2C8E" w:rsidRPr="00C13812" w:rsidRDefault="00BB2C8E" w:rsidP="00D86C8E">
      <w:pPr>
        <w:spacing w:after="0"/>
        <w:rPr>
          <w:rFonts w:cs="Times New Roman"/>
          <w:b/>
          <w:sz w:val="24"/>
          <w:szCs w:val="24"/>
        </w:rPr>
      </w:pPr>
      <w:r w:rsidRPr="00C13812">
        <w:rPr>
          <w:rFonts w:cs="Times New Roman"/>
          <w:b/>
          <w:sz w:val="24"/>
          <w:szCs w:val="24"/>
        </w:rPr>
        <w:t>Weaknesses</w:t>
      </w:r>
    </w:p>
    <w:p w:rsidR="00BB2C8E" w:rsidRDefault="00BB2C8E" w:rsidP="00D86C8E">
      <w:pPr>
        <w:pStyle w:val="ListParagraph"/>
        <w:numPr>
          <w:ilvl w:val="0"/>
          <w:numId w:val="5"/>
        </w:numPr>
        <w:spacing w:after="0"/>
        <w:rPr>
          <w:rFonts w:cs="Times New Roman"/>
          <w:sz w:val="24"/>
          <w:szCs w:val="24"/>
        </w:rPr>
      </w:pPr>
      <w:r>
        <w:rPr>
          <w:rFonts w:cs="Times New Roman" w:hint="eastAsia"/>
          <w:sz w:val="24"/>
          <w:szCs w:val="24"/>
        </w:rPr>
        <w:t>CJES</w:t>
      </w:r>
      <w:r>
        <w:rPr>
          <w:rFonts w:cs="Times New Roman"/>
          <w:sz w:val="24"/>
          <w:szCs w:val="24"/>
        </w:rPr>
        <w:t>’</w:t>
      </w:r>
      <w:r>
        <w:rPr>
          <w:rFonts w:cs="Times New Roman" w:hint="eastAsia"/>
          <w:sz w:val="24"/>
          <w:szCs w:val="24"/>
        </w:rPr>
        <w:t>s r</w:t>
      </w:r>
      <w:r w:rsidRPr="00C13812">
        <w:rPr>
          <w:rFonts w:cs="Times New Roman"/>
          <w:sz w:val="24"/>
          <w:szCs w:val="24"/>
        </w:rPr>
        <w:t xml:space="preserve">evenue highly depends on </w:t>
      </w:r>
      <w:r>
        <w:rPr>
          <w:rFonts w:cs="Times New Roman" w:hint="eastAsia"/>
          <w:sz w:val="24"/>
          <w:szCs w:val="24"/>
        </w:rPr>
        <w:t xml:space="preserve">a few </w:t>
      </w:r>
      <w:r w:rsidRPr="00C13812">
        <w:rPr>
          <w:rFonts w:cs="Times New Roman"/>
          <w:sz w:val="24"/>
          <w:szCs w:val="24"/>
        </w:rPr>
        <w:t>long-term contracts</w:t>
      </w:r>
      <w:r>
        <w:rPr>
          <w:rFonts w:cs="Times New Roman" w:hint="eastAsia"/>
          <w:sz w:val="24"/>
          <w:szCs w:val="24"/>
        </w:rPr>
        <w:t>. Providing price discount will worsen future revenues.</w:t>
      </w:r>
    </w:p>
    <w:p w:rsidR="00BB2C8E" w:rsidRPr="00C13812" w:rsidRDefault="00BB2C8E" w:rsidP="00D86C8E">
      <w:pPr>
        <w:pStyle w:val="ListParagraph"/>
        <w:numPr>
          <w:ilvl w:val="0"/>
          <w:numId w:val="5"/>
        </w:numPr>
        <w:spacing w:after="0"/>
        <w:rPr>
          <w:rFonts w:cs="Times New Roman"/>
          <w:sz w:val="24"/>
          <w:szCs w:val="24"/>
        </w:rPr>
      </w:pPr>
      <w:r>
        <w:rPr>
          <w:rFonts w:cs="Times New Roman"/>
          <w:sz w:val="24"/>
          <w:szCs w:val="24"/>
        </w:rPr>
        <w:t>I</w:t>
      </w:r>
      <w:r>
        <w:rPr>
          <w:rFonts w:cs="Times New Roman" w:hint="eastAsia"/>
          <w:sz w:val="24"/>
          <w:szCs w:val="24"/>
        </w:rPr>
        <w:t>neffective internal control subjects CJES to operational risks, which may result in losses, penalties, or sanctions.</w:t>
      </w:r>
    </w:p>
    <w:p w:rsidR="00D86C8E" w:rsidRDefault="00D86C8E" w:rsidP="00D86C8E">
      <w:pPr>
        <w:spacing w:after="0"/>
        <w:rPr>
          <w:rFonts w:cs="Times New Roman"/>
          <w:b/>
          <w:sz w:val="24"/>
          <w:szCs w:val="24"/>
        </w:rPr>
      </w:pPr>
    </w:p>
    <w:p w:rsidR="00BB2C8E" w:rsidRPr="00C13812" w:rsidRDefault="00BB2C8E" w:rsidP="00D86C8E">
      <w:pPr>
        <w:spacing w:after="0"/>
        <w:rPr>
          <w:rFonts w:cs="Times New Roman"/>
          <w:b/>
          <w:sz w:val="24"/>
          <w:szCs w:val="24"/>
        </w:rPr>
      </w:pPr>
      <w:r w:rsidRPr="00C13812">
        <w:rPr>
          <w:rFonts w:cs="Times New Roman"/>
          <w:b/>
          <w:sz w:val="24"/>
          <w:szCs w:val="24"/>
        </w:rPr>
        <w:t>Opportunities</w:t>
      </w:r>
    </w:p>
    <w:p w:rsidR="00BB2C8E" w:rsidRPr="00C13812" w:rsidRDefault="00BB2C8E" w:rsidP="00D86C8E">
      <w:pPr>
        <w:pStyle w:val="ListParagraph"/>
        <w:numPr>
          <w:ilvl w:val="0"/>
          <w:numId w:val="6"/>
        </w:numPr>
        <w:spacing w:after="0"/>
        <w:rPr>
          <w:rFonts w:cs="Times New Roman"/>
          <w:sz w:val="24"/>
          <w:szCs w:val="24"/>
        </w:rPr>
      </w:pPr>
      <w:r>
        <w:rPr>
          <w:rFonts w:cs="Times New Roman" w:hint="eastAsia"/>
          <w:sz w:val="24"/>
          <w:szCs w:val="24"/>
        </w:rPr>
        <w:t xml:space="preserve">CJES decides to </w:t>
      </w:r>
      <w:proofErr w:type="gramStart"/>
      <w:r>
        <w:rPr>
          <w:rFonts w:cs="Times New Roman" w:hint="eastAsia"/>
          <w:sz w:val="24"/>
          <w:szCs w:val="24"/>
        </w:rPr>
        <w:t>m</w:t>
      </w:r>
      <w:r w:rsidRPr="00C13812">
        <w:rPr>
          <w:rFonts w:cs="Times New Roman"/>
          <w:sz w:val="24"/>
          <w:szCs w:val="24"/>
        </w:rPr>
        <w:t>igrate</w:t>
      </w:r>
      <w:proofErr w:type="gramEnd"/>
      <w:r w:rsidRPr="00C13812">
        <w:rPr>
          <w:rFonts w:cs="Times New Roman"/>
          <w:sz w:val="24"/>
          <w:szCs w:val="24"/>
        </w:rPr>
        <w:t xml:space="preserve"> drilling activities from </w:t>
      </w:r>
      <w:r>
        <w:rPr>
          <w:rFonts w:cs="Times New Roman" w:hint="eastAsia"/>
          <w:sz w:val="24"/>
          <w:szCs w:val="24"/>
        </w:rPr>
        <w:t xml:space="preserve">low-price </w:t>
      </w:r>
      <w:r w:rsidRPr="00C13812">
        <w:rPr>
          <w:rFonts w:cs="Times New Roman"/>
          <w:sz w:val="24"/>
          <w:szCs w:val="24"/>
        </w:rPr>
        <w:t xml:space="preserve">gassier regions to </w:t>
      </w:r>
      <w:r>
        <w:rPr>
          <w:rFonts w:cs="Times New Roman" w:hint="eastAsia"/>
          <w:sz w:val="24"/>
          <w:szCs w:val="24"/>
        </w:rPr>
        <w:t xml:space="preserve">relatively high-price </w:t>
      </w:r>
      <w:r w:rsidRPr="00C13812">
        <w:rPr>
          <w:rFonts w:cs="Times New Roman"/>
          <w:sz w:val="24"/>
          <w:szCs w:val="24"/>
        </w:rPr>
        <w:t>oily regions</w:t>
      </w:r>
      <w:r>
        <w:rPr>
          <w:rFonts w:cs="Times New Roman" w:hint="eastAsia"/>
          <w:sz w:val="24"/>
          <w:szCs w:val="24"/>
        </w:rPr>
        <w:t xml:space="preserve">. </w:t>
      </w:r>
      <w:r>
        <w:rPr>
          <w:rFonts w:cs="Times New Roman"/>
          <w:sz w:val="24"/>
          <w:szCs w:val="24"/>
        </w:rPr>
        <w:t>T</w:t>
      </w:r>
      <w:r>
        <w:rPr>
          <w:rFonts w:cs="Times New Roman" w:hint="eastAsia"/>
          <w:sz w:val="24"/>
          <w:szCs w:val="24"/>
        </w:rPr>
        <w:t xml:space="preserve">his migration will positively </w:t>
      </w:r>
      <w:r>
        <w:rPr>
          <w:rFonts w:cs="Times New Roman"/>
          <w:sz w:val="24"/>
          <w:szCs w:val="24"/>
        </w:rPr>
        <w:t>affect</w:t>
      </w:r>
      <w:r>
        <w:rPr>
          <w:rFonts w:cs="Times New Roman" w:hint="eastAsia"/>
          <w:sz w:val="24"/>
          <w:szCs w:val="24"/>
        </w:rPr>
        <w:t xml:space="preserve"> the demand for services.</w:t>
      </w:r>
    </w:p>
    <w:p w:rsidR="00D86C8E" w:rsidRDefault="00D86C8E" w:rsidP="00D86C8E">
      <w:pPr>
        <w:spacing w:after="0"/>
        <w:rPr>
          <w:rFonts w:cs="Times New Roman"/>
          <w:b/>
          <w:sz w:val="24"/>
          <w:szCs w:val="24"/>
        </w:rPr>
      </w:pPr>
    </w:p>
    <w:p w:rsidR="00BB2C8E" w:rsidRPr="00D453F7" w:rsidRDefault="00BB2C8E" w:rsidP="00D86C8E">
      <w:pPr>
        <w:spacing w:after="0"/>
        <w:rPr>
          <w:rFonts w:cs="Times New Roman"/>
          <w:b/>
          <w:sz w:val="24"/>
          <w:szCs w:val="24"/>
        </w:rPr>
      </w:pPr>
      <w:r w:rsidRPr="00D453F7">
        <w:rPr>
          <w:rFonts w:cs="Times New Roman"/>
          <w:b/>
          <w:sz w:val="24"/>
          <w:szCs w:val="24"/>
        </w:rPr>
        <w:t>Threats</w:t>
      </w:r>
    </w:p>
    <w:p w:rsidR="00BB2C8E" w:rsidRPr="00C13812" w:rsidRDefault="00BB2C8E" w:rsidP="00D86C8E">
      <w:pPr>
        <w:pStyle w:val="ListParagraph"/>
        <w:numPr>
          <w:ilvl w:val="0"/>
          <w:numId w:val="7"/>
        </w:numPr>
        <w:spacing w:after="0"/>
        <w:rPr>
          <w:rFonts w:cs="Times New Roman"/>
          <w:sz w:val="24"/>
          <w:szCs w:val="24"/>
        </w:rPr>
      </w:pPr>
      <w:r>
        <w:rPr>
          <w:rFonts w:cs="Times New Roman"/>
          <w:sz w:val="24"/>
          <w:szCs w:val="24"/>
        </w:rPr>
        <w:t>A</w:t>
      </w:r>
      <w:r>
        <w:rPr>
          <w:rFonts w:cs="Times New Roman" w:hint="eastAsia"/>
          <w:sz w:val="24"/>
          <w:szCs w:val="24"/>
        </w:rPr>
        <w:t xml:space="preserve"> biggest threat comes from the declining and highly volatile</w:t>
      </w:r>
      <w:r w:rsidRPr="00C13812">
        <w:rPr>
          <w:rFonts w:cs="Times New Roman"/>
          <w:sz w:val="24"/>
          <w:szCs w:val="24"/>
        </w:rPr>
        <w:t xml:space="preserve"> natural gas</w:t>
      </w:r>
      <w:r>
        <w:rPr>
          <w:rFonts w:cs="Times New Roman" w:hint="eastAsia"/>
          <w:sz w:val="24"/>
          <w:szCs w:val="24"/>
        </w:rPr>
        <w:t xml:space="preserve"> (NG)</w:t>
      </w:r>
      <w:r w:rsidRPr="00C13812">
        <w:rPr>
          <w:rFonts w:cs="Times New Roman"/>
          <w:sz w:val="24"/>
          <w:szCs w:val="24"/>
        </w:rPr>
        <w:t xml:space="preserve"> prices</w:t>
      </w:r>
      <w:r>
        <w:rPr>
          <w:rFonts w:cs="Times New Roman" w:hint="eastAsia"/>
          <w:sz w:val="24"/>
          <w:szCs w:val="24"/>
        </w:rPr>
        <w:t>. Together with more strict regulations on NG drilling, this will have negative impact on NG production and on the demand for NG services.</w:t>
      </w:r>
    </w:p>
    <w:p w:rsidR="00BB2C8E" w:rsidRPr="00C13812" w:rsidRDefault="00BB2C8E" w:rsidP="00D86C8E">
      <w:pPr>
        <w:pStyle w:val="ListParagraph"/>
        <w:numPr>
          <w:ilvl w:val="0"/>
          <w:numId w:val="7"/>
        </w:numPr>
        <w:spacing w:after="0"/>
        <w:rPr>
          <w:rFonts w:cs="Times New Roman"/>
          <w:sz w:val="24"/>
          <w:szCs w:val="24"/>
        </w:rPr>
      </w:pPr>
      <w:r w:rsidRPr="00C13812">
        <w:rPr>
          <w:rFonts w:cs="Times New Roman"/>
          <w:sz w:val="24"/>
          <w:szCs w:val="24"/>
        </w:rPr>
        <w:t xml:space="preserve">More </w:t>
      </w:r>
      <w:r>
        <w:rPr>
          <w:rFonts w:cs="Times New Roman" w:hint="eastAsia"/>
          <w:sz w:val="24"/>
          <w:szCs w:val="24"/>
        </w:rPr>
        <w:t>restrictions</w:t>
      </w:r>
      <w:r>
        <w:rPr>
          <w:rFonts w:cs="Times New Roman"/>
          <w:sz w:val="24"/>
          <w:szCs w:val="24"/>
        </w:rPr>
        <w:t xml:space="preserve"> on hydraulic fracturing</w:t>
      </w:r>
      <w:r>
        <w:rPr>
          <w:rFonts w:cs="Times New Roman" w:hint="eastAsia"/>
          <w:sz w:val="24"/>
          <w:szCs w:val="24"/>
        </w:rPr>
        <w:t xml:space="preserve"> will</w:t>
      </w:r>
      <w:r>
        <w:rPr>
          <w:rFonts w:cs="Times New Roman"/>
          <w:sz w:val="24"/>
          <w:szCs w:val="24"/>
        </w:rPr>
        <w:t xml:space="preserve"> result</w:t>
      </w:r>
      <w:r w:rsidRPr="00C13812">
        <w:rPr>
          <w:rFonts w:cs="Times New Roman"/>
          <w:sz w:val="24"/>
          <w:szCs w:val="24"/>
        </w:rPr>
        <w:t xml:space="preserve"> in higher costs</w:t>
      </w:r>
      <w:r>
        <w:rPr>
          <w:rFonts w:cs="Times New Roman" w:hint="eastAsia"/>
          <w:sz w:val="24"/>
          <w:szCs w:val="24"/>
        </w:rPr>
        <w:t>.</w:t>
      </w:r>
    </w:p>
    <w:p w:rsidR="00BB2C8E" w:rsidRDefault="00BB2C8E" w:rsidP="00D86C8E">
      <w:pPr>
        <w:pStyle w:val="ListParagraph"/>
        <w:numPr>
          <w:ilvl w:val="0"/>
          <w:numId w:val="7"/>
        </w:numPr>
        <w:spacing w:after="0"/>
        <w:rPr>
          <w:rFonts w:cs="Times New Roman"/>
          <w:sz w:val="24"/>
          <w:szCs w:val="24"/>
        </w:rPr>
      </w:pPr>
      <w:r>
        <w:rPr>
          <w:rFonts w:cs="Times New Roman"/>
          <w:sz w:val="24"/>
          <w:szCs w:val="24"/>
        </w:rPr>
        <w:t>A</w:t>
      </w:r>
      <w:r>
        <w:rPr>
          <w:rFonts w:cs="Times New Roman" w:hint="eastAsia"/>
          <w:sz w:val="24"/>
          <w:szCs w:val="24"/>
        </w:rPr>
        <w:t xml:space="preserve"> highly competitive oilfield service market with excess capacity will lead to a decrease in service rates. </w:t>
      </w:r>
      <w:r>
        <w:rPr>
          <w:rFonts w:cs="Times New Roman"/>
          <w:sz w:val="24"/>
          <w:szCs w:val="24"/>
        </w:rPr>
        <w:t>T</w:t>
      </w:r>
      <w:r>
        <w:rPr>
          <w:rFonts w:cs="Times New Roman" w:hint="eastAsia"/>
          <w:sz w:val="24"/>
          <w:szCs w:val="24"/>
        </w:rPr>
        <w:t>his will further hurt CJES</w:t>
      </w:r>
      <w:r>
        <w:rPr>
          <w:rFonts w:cs="Times New Roman"/>
          <w:sz w:val="24"/>
          <w:szCs w:val="24"/>
        </w:rPr>
        <w:t>’</w:t>
      </w:r>
      <w:r>
        <w:rPr>
          <w:rFonts w:cs="Times New Roman" w:hint="eastAsia"/>
          <w:sz w:val="24"/>
          <w:szCs w:val="24"/>
        </w:rPr>
        <w:t>s revenue.</w:t>
      </w:r>
    </w:p>
    <w:p w:rsidR="00BB2C8E" w:rsidRPr="00C13812" w:rsidRDefault="00BB2C8E" w:rsidP="00D86C8E">
      <w:pPr>
        <w:pStyle w:val="ListParagraph"/>
        <w:numPr>
          <w:ilvl w:val="0"/>
          <w:numId w:val="7"/>
        </w:numPr>
        <w:spacing w:after="0"/>
        <w:rPr>
          <w:rFonts w:cs="Times New Roman"/>
          <w:sz w:val="24"/>
          <w:szCs w:val="24"/>
        </w:rPr>
      </w:pPr>
      <w:r>
        <w:rPr>
          <w:rFonts w:cs="Times New Roman" w:hint="eastAsia"/>
          <w:sz w:val="24"/>
          <w:szCs w:val="24"/>
        </w:rPr>
        <w:t>Strict covenants in debt agreements limit CJES</w:t>
      </w:r>
      <w:r>
        <w:rPr>
          <w:rFonts w:cs="Times New Roman"/>
          <w:sz w:val="24"/>
          <w:szCs w:val="24"/>
        </w:rPr>
        <w:t>’</w:t>
      </w:r>
      <w:r>
        <w:rPr>
          <w:rFonts w:cs="Times New Roman" w:hint="eastAsia"/>
          <w:sz w:val="24"/>
          <w:szCs w:val="24"/>
        </w:rPr>
        <w:t>s debt financing ability.</w:t>
      </w:r>
    </w:p>
    <w:p w:rsidR="00BB2C8E" w:rsidRDefault="00BB2C8E" w:rsidP="00BB2C8E"/>
    <w:p w:rsidR="00BB2C8E" w:rsidRDefault="00BB2C8E" w:rsidP="00BB2C8E">
      <w:pPr>
        <w:rPr>
          <w:rFonts w:ascii="Times New Roman" w:hAnsi="Times New Roman" w:cs="Times New Roman"/>
          <w:b/>
          <w:color w:val="C00000"/>
          <w:sz w:val="32"/>
          <w:szCs w:val="32"/>
        </w:rPr>
      </w:pPr>
      <w:r>
        <w:rPr>
          <w:rFonts w:ascii="Times New Roman" w:hAnsi="Times New Roman" w:cs="Times New Roman"/>
          <w:b/>
          <w:color w:val="C00000"/>
          <w:sz w:val="32"/>
          <w:szCs w:val="32"/>
        </w:rPr>
        <w:br w:type="page"/>
      </w:r>
    </w:p>
    <w:p w:rsidR="00BB2C8E" w:rsidRPr="00C13812" w:rsidRDefault="00BB2C8E" w:rsidP="00BB2C8E">
      <w:pPr>
        <w:rPr>
          <w:rFonts w:cs="Times New Roman"/>
          <w:b/>
          <w:color w:val="C00000"/>
          <w:sz w:val="32"/>
          <w:szCs w:val="32"/>
        </w:rPr>
      </w:pPr>
      <w:r w:rsidRPr="00C13812">
        <w:rPr>
          <w:rFonts w:cs="Times New Roman"/>
          <w:b/>
          <w:noProof/>
          <w:color w:val="C00000"/>
          <w:sz w:val="32"/>
          <w:szCs w:val="32"/>
        </w:rPr>
        <w:lastRenderedPageBreak/>
        <mc:AlternateContent>
          <mc:Choice Requires="wps">
            <w:drawing>
              <wp:anchor distT="4294967295" distB="4294967295" distL="114300" distR="114300" simplePos="0" relativeHeight="251664384" behindDoc="0" locked="0" layoutInCell="1" allowOverlap="1" wp14:anchorId="6F834C3A" wp14:editId="1B103FF0">
                <wp:simplePos x="0" y="0"/>
                <wp:positionH relativeFrom="column">
                  <wp:posOffset>-123825</wp:posOffset>
                </wp:positionH>
                <wp:positionV relativeFrom="paragraph">
                  <wp:posOffset>295274</wp:posOffset>
                </wp:positionV>
                <wp:extent cx="62865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3.25pt" to="485.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" strokecolor="#4f81bd [3204]" strokeweight="2pt">
                <o:lock v:ext="edit" shapetype="f"/>
              </v:line>
            </w:pict>
          </mc:Fallback>
        </mc:AlternateContent>
      </w:r>
      <w:r w:rsidRPr="00C13812">
        <w:rPr>
          <w:rFonts w:cs="Times New Roman"/>
          <w:b/>
          <w:color w:val="C00000"/>
          <w:sz w:val="32"/>
          <w:szCs w:val="32"/>
        </w:rPr>
        <w:t>Industry Outlook and Major Competitors</w:t>
      </w:r>
    </w:p>
    <w:p w:rsidR="00BB2C8E" w:rsidRDefault="00BB2C8E" w:rsidP="00D86C8E">
      <w:pPr>
        <w:spacing w:after="0"/>
        <w:rPr>
          <w:rFonts w:cs="Times New Roman"/>
          <w:b/>
          <w:sz w:val="24"/>
          <w:szCs w:val="24"/>
        </w:rPr>
      </w:pPr>
      <w:r>
        <w:rPr>
          <w:rFonts w:cs="Times New Roman" w:hint="eastAsia"/>
          <w:b/>
          <w:sz w:val="24"/>
          <w:szCs w:val="24"/>
        </w:rPr>
        <w:t>Industry Outlook</w:t>
      </w:r>
    </w:p>
    <w:p w:rsidR="00BB2C8E" w:rsidRDefault="00BB2C8E" w:rsidP="00D86C8E">
      <w:pPr>
        <w:spacing w:after="0"/>
        <w:jc w:val="both"/>
        <w:rPr>
          <w:rFonts w:cs="Times New Roman"/>
          <w:sz w:val="24"/>
          <w:szCs w:val="24"/>
        </w:rPr>
      </w:pPr>
      <w:r>
        <w:rPr>
          <w:rFonts w:cs="Times New Roman"/>
          <w:sz w:val="24"/>
          <w:szCs w:val="24"/>
        </w:rPr>
        <w:t>T</w:t>
      </w:r>
      <w:r>
        <w:rPr>
          <w:rFonts w:cs="Times New Roman" w:hint="eastAsia"/>
          <w:sz w:val="24"/>
          <w:szCs w:val="24"/>
        </w:rPr>
        <w:t xml:space="preserve">he energy sector has diverse products and services, the prices of which are exposed to many risk factors and are highly volatile. They are sensitive to policies, weather conditions, </w:t>
      </w:r>
      <w:r>
        <w:rPr>
          <w:rFonts w:cs="Times New Roman"/>
          <w:sz w:val="24"/>
          <w:szCs w:val="24"/>
        </w:rPr>
        <w:t>and operational</w:t>
      </w:r>
      <w:r>
        <w:rPr>
          <w:rFonts w:cs="Times New Roman" w:hint="eastAsia"/>
          <w:sz w:val="24"/>
          <w:szCs w:val="24"/>
        </w:rPr>
        <w:t xml:space="preserve"> accidents. </w:t>
      </w:r>
      <w:r w:rsidRPr="00C13812">
        <w:rPr>
          <w:rFonts w:cs="Times New Roman"/>
          <w:sz w:val="24"/>
          <w:szCs w:val="24"/>
        </w:rPr>
        <w:t xml:space="preserve">The </w:t>
      </w:r>
      <w:r>
        <w:rPr>
          <w:rFonts w:cs="Times New Roman" w:hint="eastAsia"/>
          <w:sz w:val="24"/>
          <w:szCs w:val="24"/>
        </w:rPr>
        <w:t>current oil and natural gas service industry has three main features: declining demand, more stringent regulations, and intense competition. Specifically,</w:t>
      </w:r>
    </w:p>
    <w:p w:rsidR="00340945" w:rsidRDefault="00340945" w:rsidP="00D86C8E">
      <w:pPr>
        <w:spacing w:after="0"/>
        <w:jc w:val="both"/>
        <w:rPr>
          <w:rFonts w:cs="Times New Roman"/>
          <w:sz w:val="24"/>
          <w:szCs w:val="24"/>
        </w:rPr>
      </w:pPr>
    </w:p>
    <w:p w:rsidR="00BB2C8E" w:rsidRDefault="00666BD8" w:rsidP="00BB2C8E">
      <w:pPr>
        <w:pStyle w:val="ListParagraph"/>
        <w:numPr>
          <w:ilvl w:val="0"/>
          <w:numId w:val="3"/>
        </w:numPr>
        <w:jc w:val="both"/>
        <w:rPr>
          <w:rFonts w:cs="Times New Roman"/>
          <w:sz w:val="24"/>
          <w:szCs w:val="24"/>
        </w:rPr>
      </w:pPr>
      <w:r>
        <w:rPr>
          <w:rFonts w:cs="Times New Roman" w:hint="eastAsia"/>
          <w:sz w:val="24"/>
          <w:szCs w:val="24"/>
        </w:rPr>
        <w:t>Facing a declining</w:t>
      </w:r>
      <w:r w:rsidR="00BB2C8E">
        <w:rPr>
          <w:rFonts w:cs="Times New Roman" w:hint="eastAsia"/>
          <w:sz w:val="24"/>
          <w:szCs w:val="24"/>
        </w:rPr>
        <w:t xml:space="preserve"> </w:t>
      </w:r>
      <w:r>
        <w:rPr>
          <w:rFonts w:cs="Times New Roman" w:hint="eastAsia"/>
          <w:sz w:val="24"/>
          <w:szCs w:val="24"/>
        </w:rPr>
        <w:t xml:space="preserve">trend in </w:t>
      </w:r>
      <w:r w:rsidR="00BB2C8E">
        <w:rPr>
          <w:rFonts w:cs="Times New Roman" w:hint="eastAsia"/>
          <w:sz w:val="24"/>
          <w:szCs w:val="24"/>
        </w:rPr>
        <w:t>gas price</w:t>
      </w:r>
      <w:r>
        <w:rPr>
          <w:rFonts w:cs="Times New Roman" w:hint="eastAsia"/>
          <w:sz w:val="24"/>
          <w:szCs w:val="24"/>
        </w:rPr>
        <w:t>s, many firms engaged</w:t>
      </w:r>
      <w:r w:rsidR="00BB2C8E">
        <w:rPr>
          <w:rFonts w:cs="Times New Roman" w:hint="eastAsia"/>
          <w:sz w:val="24"/>
          <w:szCs w:val="24"/>
        </w:rPr>
        <w:t xml:space="preserve"> in natural gas E&amp;P may reduce their demand for relevant services. More restrictions on natural gas drilling and the outbreak of alternative energy sources will further weaken the demand for natural gas services.</w:t>
      </w:r>
    </w:p>
    <w:p w:rsidR="00BB2C8E" w:rsidRDefault="00BB2C8E" w:rsidP="00BB2C8E">
      <w:pPr>
        <w:pStyle w:val="ListParagraph"/>
        <w:numPr>
          <w:ilvl w:val="0"/>
          <w:numId w:val="3"/>
        </w:numPr>
        <w:jc w:val="both"/>
        <w:rPr>
          <w:rFonts w:cs="Times New Roman"/>
          <w:sz w:val="24"/>
          <w:szCs w:val="24"/>
        </w:rPr>
      </w:pPr>
      <w:r>
        <w:rPr>
          <w:rFonts w:cs="Times New Roman"/>
          <w:sz w:val="24"/>
          <w:szCs w:val="24"/>
        </w:rPr>
        <w:t>W</w:t>
      </w:r>
      <w:r>
        <w:rPr>
          <w:rFonts w:cs="Times New Roman" w:hint="eastAsia"/>
          <w:sz w:val="24"/>
          <w:szCs w:val="24"/>
        </w:rPr>
        <w:t>hen more strict regulations on hydraulic fracturing operations are put into practice, it</w:t>
      </w:r>
      <w:r>
        <w:rPr>
          <w:rFonts w:cs="Times New Roman"/>
          <w:sz w:val="24"/>
          <w:szCs w:val="24"/>
        </w:rPr>
        <w:t xml:space="preserve"> will be more difficult to complete oil/natural gas wells in shale formation</w:t>
      </w:r>
      <w:r>
        <w:rPr>
          <w:rFonts w:cs="Times New Roman" w:hint="eastAsia"/>
          <w:sz w:val="24"/>
          <w:szCs w:val="24"/>
        </w:rPr>
        <w:t>s and</w:t>
      </w:r>
      <w:r>
        <w:rPr>
          <w:rFonts w:cs="Times New Roman"/>
          <w:sz w:val="24"/>
          <w:szCs w:val="24"/>
        </w:rPr>
        <w:t xml:space="preserve"> increase costs of hydraulic fracturing services.</w:t>
      </w:r>
    </w:p>
    <w:p w:rsidR="00BB2C8E" w:rsidRDefault="00BB2C8E" w:rsidP="00D86C8E">
      <w:pPr>
        <w:pStyle w:val="ListParagraph"/>
        <w:numPr>
          <w:ilvl w:val="0"/>
          <w:numId w:val="3"/>
        </w:numPr>
        <w:spacing w:after="0"/>
        <w:jc w:val="both"/>
        <w:rPr>
          <w:rFonts w:cs="Times New Roman"/>
          <w:sz w:val="24"/>
          <w:szCs w:val="24"/>
        </w:rPr>
      </w:pPr>
      <w:r>
        <w:rPr>
          <w:rFonts w:cs="Times New Roman" w:hint="eastAsia"/>
          <w:sz w:val="24"/>
          <w:szCs w:val="24"/>
        </w:rPr>
        <w:t xml:space="preserve">The industry is highly competitive. Four primary competitive factors are technical expertise, fleet capability, experience, and financial resources. </w:t>
      </w:r>
      <w:r>
        <w:rPr>
          <w:rFonts w:cs="Times New Roman"/>
          <w:sz w:val="24"/>
          <w:szCs w:val="24"/>
        </w:rPr>
        <w:t>P</w:t>
      </w:r>
      <w:r>
        <w:rPr>
          <w:rFonts w:cs="Times New Roman" w:hint="eastAsia"/>
          <w:sz w:val="24"/>
          <w:szCs w:val="24"/>
        </w:rPr>
        <w:t>articipating firms may easily lose their market shares and potential profits if their competitors respond more quickly to emerging technologies, have a stronger presence in particular markets, or have greater capital investment. In addition, intense competition and excess supply will probably result in lower service prices.</w:t>
      </w:r>
    </w:p>
    <w:p w:rsidR="00BB2C8E" w:rsidRPr="00D728B3" w:rsidRDefault="00BB2C8E" w:rsidP="00D86C8E">
      <w:pPr>
        <w:pStyle w:val="ListParagraph"/>
        <w:spacing w:after="0"/>
        <w:jc w:val="both"/>
        <w:rPr>
          <w:rFonts w:cs="Times New Roman"/>
          <w:sz w:val="24"/>
          <w:szCs w:val="24"/>
        </w:rPr>
      </w:pPr>
    </w:p>
    <w:p w:rsidR="00BB2C8E" w:rsidRPr="00323A38" w:rsidRDefault="00323A38" w:rsidP="00D86C8E">
      <w:pPr>
        <w:spacing w:after="0"/>
        <w:rPr>
          <w:rFonts w:cs="Times New Roman"/>
          <w:sz w:val="24"/>
          <w:szCs w:val="24"/>
          <w:u w:val="single"/>
        </w:rPr>
      </w:pPr>
      <w:r w:rsidRPr="00323A38">
        <w:rPr>
          <w:rFonts w:cs="Times New Roman" w:hint="eastAsia"/>
          <w:sz w:val="24"/>
          <w:szCs w:val="24"/>
          <w:u w:val="single"/>
        </w:rPr>
        <w:t xml:space="preserve">Table 1: </w:t>
      </w:r>
      <w:r w:rsidR="00BB2C8E" w:rsidRPr="00323A38">
        <w:rPr>
          <w:rFonts w:cs="Times New Roman" w:hint="eastAsia"/>
          <w:sz w:val="24"/>
          <w:szCs w:val="24"/>
          <w:u w:val="single"/>
        </w:rPr>
        <w:t>Major Competitors</w:t>
      </w:r>
    </w:p>
    <w:p w:rsidR="00BB2C8E" w:rsidRDefault="00666BD8" w:rsidP="00BB2C8E">
      <w:r w:rsidRPr="00666BD8">
        <w:drawing>
          <wp:inline distT="0" distB="0" distL="0" distR="0" wp14:anchorId="2DE59CFC" wp14:editId="5CC43C92">
            <wp:extent cx="5943600" cy="207112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71123"/>
                    </a:xfrm>
                    <a:prstGeom prst="rect">
                      <a:avLst/>
                    </a:prstGeom>
                    <a:noFill/>
                    <a:ln>
                      <a:noFill/>
                    </a:ln>
                  </pic:spPr>
                </pic:pic>
              </a:graphicData>
            </a:graphic>
          </wp:inline>
        </w:drawing>
      </w:r>
    </w:p>
    <w:p w:rsidR="00BB2C8E" w:rsidRPr="00365C69" w:rsidRDefault="00BB2C8E" w:rsidP="00D86C8E">
      <w:pPr>
        <w:jc w:val="both"/>
        <w:rPr>
          <w:rFonts w:cs="Times New Roman"/>
          <w:sz w:val="24"/>
          <w:szCs w:val="24"/>
        </w:rPr>
      </w:pPr>
      <w:r>
        <w:rPr>
          <w:rFonts w:cs="Times New Roman" w:hint="eastAsia"/>
          <w:sz w:val="24"/>
          <w:szCs w:val="24"/>
        </w:rPr>
        <w:t xml:space="preserve">Eight representative competitors are selected based on the following screening criteria: similar businesses, similar revenue level, and U.S.-based firms. Comparing with the industry average, CJES has greater liquidity, less leverage, stronger solvency ability and profitability, and higher revenue growth during the prior year. </w:t>
      </w:r>
      <w:r w:rsidRPr="00365C69">
        <w:rPr>
          <w:rFonts w:cs="Times New Roman" w:hint="eastAsia"/>
          <w:sz w:val="20"/>
          <w:szCs w:val="20"/>
        </w:rPr>
        <w:t>(Not</w:t>
      </w:r>
      <w:r w:rsidR="00666BD8">
        <w:rPr>
          <w:rFonts w:cs="Times New Roman" w:hint="eastAsia"/>
          <w:sz w:val="20"/>
          <w:szCs w:val="20"/>
        </w:rPr>
        <w:t>e: outliers highlighted in yellow</w:t>
      </w:r>
      <w:r w:rsidRPr="00365C69">
        <w:rPr>
          <w:rFonts w:cs="Times New Roman" w:hint="eastAsia"/>
          <w:sz w:val="20"/>
          <w:szCs w:val="20"/>
        </w:rPr>
        <w:t xml:space="preserve"> are ignored.)</w:t>
      </w:r>
      <w:r>
        <w:rPr>
          <w:rFonts w:ascii="Times New Roman" w:hAnsi="Times New Roman" w:cs="Times New Roman"/>
          <w:b/>
          <w:color w:val="C00000"/>
          <w:sz w:val="32"/>
          <w:szCs w:val="32"/>
        </w:rPr>
        <w:br w:type="page"/>
      </w:r>
    </w:p>
    <w:p w:rsidR="00BB2C8E" w:rsidRPr="00C13812" w:rsidRDefault="00BB2C8E" w:rsidP="00BB2C8E">
      <w:pPr>
        <w:jc w:val="both"/>
        <w:rPr>
          <w:rFonts w:cs="Times New Roman"/>
          <w:b/>
          <w:color w:val="C00000"/>
          <w:sz w:val="32"/>
          <w:szCs w:val="32"/>
        </w:rPr>
      </w:pPr>
      <w:r w:rsidRPr="00C13812">
        <w:rPr>
          <w:rFonts w:cs="Times New Roman"/>
          <w:b/>
          <w:noProof/>
          <w:color w:val="C00000"/>
          <w:sz w:val="32"/>
          <w:szCs w:val="32"/>
        </w:rPr>
        <w:lastRenderedPageBreak/>
        <mc:AlternateContent>
          <mc:Choice Requires="wps">
            <w:drawing>
              <wp:anchor distT="4294967295" distB="4294967295" distL="114300" distR="114300" simplePos="0" relativeHeight="251659264" behindDoc="0" locked="0" layoutInCell="1" allowOverlap="1" wp14:anchorId="5531D8BD" wp14:editId="7454BEA5">
                <wp:simplePos x="0" y="0"/>
                <wp:positionH relativeFrom="column">
                  <wp:posOffset>-123825</wp:posOffset>
                </wp:positionH>
                <wp:positionV relativeFrom="paragraph">
                  <wp:posOffset>295274</wp:posOffset>
                </wp:positionV>
                <wp:extent cx="6286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3.25pt" to="485.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" strokecolor="#4f81bd [3204]" strokeweight="2pt">
                <o:lock v:ext="edit" shapetype="f"/>
              </v:line>
            </w:pict>
          </mc:Fallback>
        </mc:AlternateContent>
      </w:r>
      <w:r w:rsidRPr="00C13812">
        <w:rPr>
          <w:rFonts w:cs="Times New Roman"/>
          <w:b/>
          <w:color w:val="C00000"/>
          <w:sz w:val="32"/>
          <w:szCs w:val="32"/>
        </w:rPr>
        <w:t>DCF Valuation Model</w:t>
      </w:r>
    </w:p>
    <w:p w:rsidR="00BB2C8E" w:rsidRDefault="00BB2C8E" w:rsidP="00323A38">
      <w:pPr>
        <w:spacing w:after="0"/>
        <w:jc w:val="both"/>
        <w:rPr>
          <w:rFonts w:cs="Times New Roman"/>
          <w:sz w:val="24"/>
          <w:szCs w:val="24"/>
        </w:rPr>
      </w:pPr>
      <w:r w:rsidRPr="00C13812">
        <w:rPr>
          <w:rFonts w:cs="Times New Roman"/>
          <w:sz w:val="24"/>
          <w:szCs w:val="24"/>
        </w:rPr>
        <w:t xml:space="preserve">The DCF Model </w:t>
      </w:r>
      <w:r w:rsidR="00323A38">
        <w:rPr>
          <w:rFonts w:cs="Times New Roman" w:hint="eastAsia"/>
          <w:sz w:val="24"/>
          <w:szCs w:val="24"/>
        </w:rPr>
        <w:t>(</w:t>
      </w:r>
      <w:r w:rsidR="00323A38" w:rsidRPr="00C13812">
        <w:rPr>
          <w:rFonts w:cs="Times New Roman"/>
          <w:sz w:val="24"/>
          <w:szCs w:val="24"/>
        </w:rPr>
        <w:t>Exhibit</w:t>
      </w:r>
      <w:r w:rsidR="00323A38">
        <w:rPr>
          <w:rFonts w:cs="Times New Roman"/>
          <w:sz w:val="24"/>
          <w:szCs w:val="24"/>
        </w:rPr>
        <w:t xml:space="preserve"> </w:t>
      </w:r>
      <w:r w:rsidR="00323A38">
        <w:rPr>
          <w:rFonts w:cs="Times New Roman" w:hint="eastAsia"/>
          <w:sz w:val="24"/>
          <w:szCs w:val="24"/>
        </w:rPr>
        <w:t xml:space="preserve">1) </w:t>
      </w:r>
      <w:r w:rsidRPr="00C13812">
        <w:rPr>
          <w:rFonts w:cs="Times New Roman"/>
          <w:sz w:val="24"/>
          <w:szCs w:val="24"/>
        </w:rPr>
        <w:t>is based on three-year historical financial data (from 2010 to 2012) and material assumptions as following:</w:t>
      </w:r>
    </w:p>
    <w:p w:rsidR="00323A38" w:rsidRPr="00C13812" w:rsidRDefault="00323A38" w:rsidP="00323A38">
      <w:pPr>
        <w:spacing w:after="0"/>
        <w:jc w:val="both"/>
        <w:rPr>
          <w:rFonts w:cs="Times New Roman"/>
          <w:sz w:val="24"/>
          <w:szCs w:val="24"/>
        </w:rPr>
      </w:pPr>
    </w:p>
    <w:p w:rsidR="00BB2C8E" w:rsidRPr="00C13812" w:rsidRDefault="00BB2C8E" w:rsidP="00323A38">
      <w:pPr>
        <w:pStyle w:val="ListParagraph"/>
        <w:numPr>
          <w:ilvl w:val="0"/>
          <w:numId w:val="8"/>
        </w:numPr>
        <w:spacing w:after="0"/>
        <w:contextualSpacing w:val="0"/>
        <w:jc w:val="both"/>
        <w:rPr>
          <w:rFonts w:cs="Times New Roman"/>
          <w:sz w:val="24"/>
          <w:szCs w:val="24"/>
        </w:rPr>
      </w:pPr>
      <w:r w:rsidRPr="00C13812">
        <w:rPr>
          <w:rFonts w:cs="Times New Roman"/>
          <w:sz w:val="24"/>
          <w:szCs w:val="24"/>
        </w:rPr>
        <w:t>12/31/2012 is set as the valuation date, and free cash flows (FCFs) are projected on a five-year time horizon (from 2013 to 2017). The effective tax rate is set as 35%.</w:t>
      </w:r>
    </w:p>
    <w:p w:rsidR="00BB2C8E" w:rsidRPr="00C13812" w:rsidRDefault="00BB2C8E" w:rsidP="00323A38">
      <w:pPr>
        <w:pStyle w:val="ListParagraph"/>
        <w:numPr>
          <w:ilvl w:val="0"/>
          <w:numId w:val="8"/>
        </w:numPr>
        <w:spacing w:after="0"/>
        <w:contextualSpacing w:val="0"/>
        <w:jc w:val="both"/>
        <w:rPr>
          <w:rFonts w:cs="Times New Roman"/>
          <w:sz w:val="24"/>
          <w:szCs w:val="24"/>
        </w:rPr>
      </w:pPr>
      <w:r w:rsidRPr="00C13812">
        <w:rPr>
          <w:rFonts w:cs="Times New Roman"/>
          <w:sz w:val="24"/>
          <w:szCs w:val="24"/>
        </w:rPr>
        <w:t xml:space="preserve">The terminal value (TV) is estimated by the average multiple TEV/EBITDA. </w:t>
      </w:r>
    </w:p>
    <w:p w:rsidR="00BB2C8E" w:rsidRPr="00C13812" w:rsidRDefault="00BB2C8E" w:rsidP="00323A38">
      <w:pPr>
        <w:pStyle w:val="ListParagraph"/>
        <w:numPr>
          <w:ilvl w:val="0"/>
          <w:numId w:val="8"/>
        </w:numPr>
        <w:spacing w:after="0"/>
        <w:contextualSpacing w:val="0"/>
        <w:jc w:val="both"/>
        <w:rPr>
          <w:rFonts w:cs="Times New Roman"/>
          <w:sz w:val="24"/>
          <w:szCs w:val="24"/>
        </w:rPr>
      </w:pPr>
      <w:r w:rsidRPr="00C13812">
        <w:rPr>
          <w:rFonts w:cs="Times New Roman"/>
          <w:sz w:val="24"/>
          <w:szCs w:val="24"/>
        </w:rPr>
        <w:t>The discounted rate is anticipated by WACC</w:t>
      </w:r>
      <w:r w:rsidR="00323A38">
        <w:rPr>
          <w:rFonts w:cs="Times New Roman" w:hint="eastAsia"/>
          <w:sz w:val="24"/>
          <w:szCs w:val="24"/>
        </w:rPr>
        <w:t xml:space="preserve"> (</w:t>
      </w:r>
      <w:r w:rsidR="00323A38" w:rsidRPr="00C13812">
        <w:rPr>
          <w:rFonts w:cs="Times New Roman"/>
          <w:sz w:val="24"/>
          <w:szCs w:val="24"/>
        </w:rPr>
        <w:t>Exhibit</w:t>
      </w:r>
      <w:r w:rsidR="00323A38">
        <w:rPr>
          <w:rFonts w:cs="Times New Roman"/>
          <w:sz w:val="24"/>
          <w:szCs w:val="24"/>
        </w:rPr>
        <w:t xml:space="preserve"> </w:t>
      </w:r>
      <w:r w:rsidR="00323A38">
        <w:rPr>
          <w:rFonts w:cs="Times New Roman" w:hint="eastAsia"/>
          <w:sz w:val="24"/>
          <w:szCs w:val="24"/>
        </w:rPr>
        <w:t>2</w:t>
      </w:r>
      <w:r w:rsidR="00666BD8">
        <w:rPr>
          <w:rFonts w:cs="Times New Roman" w:hint="eastAsia"/>
          <w:sz w:val="24"/>
          <w:szCs w:val="24"/>
        </w:rPr>
        <w:t>, 3</w:t>
      </w:r>
      <w:r w:rsidR="00323A38">
        <w:rPr>
          <w:rFonts w:cs="Times New Roman" w:hint="eastAsia"/>
          <w:sz w:val="24"/>
          <w:szCs w:val="24"/>
        </w:rPr>
        <w:t>)</w:t>
      </w:r>
      <w:r w:rsidRPr="00C13812">
        <w:rPr>
          <w:rFonts w:cs="Times New Roman"/>
          <w:sz w:val="24"/>
          <w:szCs w:val="24"/>
        </w:rPr>
        <w:t>, which combines the costs of debt and equity, and they are weighed by their contribution to the total capital that is consisted of the book value of total debt and the market value of total equity.</w:t>
      </w:r>
    </w:p>
    <w:p w:rsidR="00BB2C8E" w:rsidRPr="00C13812" w:rsidRDefault="00BB2C8E" w:rsidP="00323A38">
      <w:pPr>
        <w:pStyle w:val="ListParagraph"/>
        <w:numPr>
          <w:ilvl w:val="0"/>
          <w:numId w:val="8"/>
        </w:numPr>
        <w:spacing w:after="0"/>
        <w:contextualSpacing w:val="0"/>
        <w:jc w:val="both"/>
        <w:rPr>
          <w:rFonts w:cs="Times New Roman"/>
          <w:sz w:val="24"/>
          <w:szCs w:val="24"/>
        </w:rPr>
      </w:pPr>
      <w:r w:rsidRPr="00C13812">
        <w:rPr>
          <w:rFonts w:cs="Times New Roman"/>
          <w:sz w:val="24"/>
          <w:szCs w:val="24"/>
        </w:rPr>
        <w:t>CAPM is used to calculate the cost of equity, and the risk free rate is the 20-year Treasury bond rate. The market risk premium is assumed as 5%, and the equity beta is estimated by balancing the comparable re-levered beta, beta source in Capital IQ, and beta source in Bloomberg.</w:t>
      </w:r>
    </w:p>
    <w:p w:rsidR="00BB2C8E" w:rsidRPr="00C13812" w:rsidRDefault="00BB2C8E" w:rsidP="00323A38">
      <w:pPr>
        <w:pStyle w:val="ListParagraph"/>
        <w:numPr>
          <w:ilvl w:val="0"/>
          <w:numId w:val="8"/>
        </w:numPr>
        <w:spacing w:after="0"/>
        <w:contextualSpacing w:val="0"/>
        <w:jc w:val="both"/>
        <w:rPr>
          <w:rFonts w:cs="Times New Roman"/>
          <w:sz w:val="24"/>
          <w:szCs w:val="24"/>
        </w:rPr>
      </w:pPr>
      <w:r w:rsidRPr="00C13812">
        <w:rPr>
          <w:rFonts w:cs="Times New Roman"/>
          <w:sz w:val="24"/>
          <w:szCs w:val="24"/>
        </w:rPr>
        <w:t>The cost of debt is estimated to be 7%</w:t>
      </w:r>
      <w:proofErr w:type="gramStart"/>
      <w:r w:rsidRPr="00C13812">
        <w:rPr>
          <w:rFonts w:cs="Times New Roman"/>
          <w:sz w:val="24"/>
          <w:szCs w:val="24"/>
        </w:rPr>
        <w:t>,</w:t>
      </w:r>
      <w:proofErr w:type="gramEnd"/>
      <w:r w:rsidRPr="00C13812">
        <w:rPr>
          <w:rFonts w:cs="Times New Roman"/>
          <w:sz w:val="24"/>
          <w:szCs w:val="24"/>
        </w:rPr>
        <w:t xml:space="preserve"> the average interest rate of BB rated corporate bonds sourced from FINRA.</w:t>
      </w:r>
    </w:p>
    <w:p w:rsidR="00BB2C8E" w:rsidRPr="00C13812" w:rsidRDefault="00666BD8" w:rsidP="00323A38">
      <w:pPr>
        <w:pStyle w:val="ListParagraph"/>
        <w:numPr>
          <w:ilvl w:val="0"/>
          <w:numId w:val="8"/>
        </w:numPr>
        <w:spacing w:after="0"/>
        <w:contextualSpacing w:val="0"/>
        <w:jc w:val="both"/>
        <w:rPr>
          <w:rFonts w:cs="Times New Roman"/>
          <w:sz w:val="24"/>
          <w:szCs w:val="24"/>
        </w:rPr>
      </w:pPr>
      <w:r>
        <w:rPr>
          <w:rFonts w:cs="Times New Roman"/>
          <w:sz w:val="24"/>
          <w:szCs w:val="24"/>
        </w:rPr>
        <w:t xml:space="preserve">According to CJES’s 2012 </w:t>
      </w:r>
      <w:r>
        <w:rPr>
          <w:rFonts w:cs="Times New Roman" w:hint="eastAsia"/>
          <w:sz w:val="24"/>
          <w:szCs w:val="24"/>
        </w:rPr>
        <w:t>annual report</w:t>
      </w:r>
      <w:r w:rsidR="00BB2C8E" w:rsidRPr="00C13812">
        <w:rPr>
          <w:rFonts w:cs="Times New Roman"/>
          <w:sz w:val="24"/>
          <w:szCs w:val="24"/>
        </w:rPr>
        <w:t>, the demand for services of natural gas exploration and production (E&amp;P)</w:t>
      </w:r>
      <w:r w:rsidR="00BB2C8E">
        <w:rPr>
          <w:rFonts w:cs="Times New Roman"/>
          <w:sz w:val="24"/>
          <w:szCs w:val="24"/>
        </w:rPr>
        <w:t xml:space="preserve"> will keep </w:t>
      </w:r>
      <w:r w:rsidR="00BB2C8E">
        <w:rPr>
          <w:rFonts w:cs="Times New Roman" w:hint="eastAsia"/>
          <w:sz w:val="24"/>
          <w:szCs w:val="24"/>
        </w:rPr>
        <w:t>shrinking</w:t>
      </w:r>
      <w:r w:rsidR="00BB2C8E" w:rsidRPr="00C13812">
        <w:rPr>
          <w:rFonts w:cs="Times New Roman"/>
          <w:sz w:val="24"/>
          <w:szCs w:val="24"/>
        </w:rPr>
        <w:t xml:space="preserve"> because of increasing service prices and dropping natural gas prices. The price discount to continue long-term contracts is another factor that will adversely affect future sales. However, CJES will </w:t>
      </w:r>
      <w:proofErr w:type="gramStart"/>
      <w:r w:rsidR="00BB2C8E" w:rsidRPr="00C13812">
        <w:rPr>
          <w:rFonts w:cs="Times New Roman"/>
          <w:sz w:val="24"/>
          <w:szCs w:val="24"/>
        </w:rPr>
        <w:t>migrate</w:t>
      </w:r>
      <w:proofErr w:type="gramEnd"/>
      <w:r w:rsidR="00BB2C8E" w:rsidRPr="00C13812">
        <w:rPr>
          <w:rFonts w:cs="Times New Roman"/>
          <w:sz w:val="24"/>
          <w:szCs w:val="24"/>
        </w:rPr>
        <w:t xml:space="preserve"> its drilling activities from gassier regions to oily regions, and synergy effects from acquisitions will help promote revenues. Thus, I assume the sales growth rates </w:t>
      </w:r>
      <w:r w:rsidR="00BB2C8E">
        <w:rPr>
          <w:rFonts w:cs="Times New Roman"/>
          <w:sz w:val="24"/>
          <w:szCs w:val="24"/>
        </w:rPr>
        <w:t xml:space="preserve">from 2013 to 2017 are 13%, 7%, </w:t>
      </w:r>
      <w:r w:rsidR="00BB2C8E">
        <w:rPr>
          <w:rFonts w:cs="Times New Roman" w:hint="eastAsia"/>
          <w:sz w:val="24"/>
          <w:szCs w:val="24"/>
        </w:rPr>
        <w:t>5</w:t>
      </w:r>
      <w:r w:rsidR="00BB2C8E">
        <w:rPr>
          <w:rFonts w:cs="Times New Roman"/>
          <w:sz w:val="24"/>
          <w:szCs w:val="24"/>
        </w:rPr>
        <w:t xml:space="preserve">%, </w:t>
      </w:r>
      <w:r w:rsidR="00BB2C8E">
        <w:rPr>
          <w:rFonts w:cs="Times New Roman" w:hint="eastAsia"/>
          <w:sz w:val="24"/>
          <w:szCs w:val="24"/>
        </w:rPr>
        <w:t>10</w:t>
      </w:r>
      <w:r w:rsidR="00BB2C8E" w:rsidRPr="00C13812">
        <w:rPr>
          <w:rFonts w:cs="Times New Roman"/>
          <w:sz w:val="24"/>
          <w:szCs w:val="24"/>
        </w:rPr>
        <w:t xml:space="preserve">%, and </w:t>
      </w:r>
      <w:r w:rsidR="00BB2C8E">
        <w:rPr>
          <w:rFonts w:cs="Times New Roman" w:hint="eastAsia"/>
          <w:sz w:val="24"/>
          <w:szCs w:val="24"/>
        </w:rPr>
        <w:t>15</w:t>
      </w:r>
      <w:r w:rsidR="00BB2C8E" w:rsidRPr="00C13812">
        <w:rPr>
          <w:rFonts w:cs="Times New Roman"/>
          <w:sz w:val="24"/>
          <w:szCs w:val="24"/>
        </w:rPr>
        <w:t xml:space="preserve">%, respectively. </w:t>
      </w:r>
    </w:p>
    <w:p w:rsidR="00323A38" w:rsidRDefault="00BB2C8E" w:rsidP="00323A38">
      <w:pPr>
        <w:pStyle w:val="ListParagraph"/>
        <w:numPr>
          <w:ilvl w:val="0"/>
          <w:numId w:val="8"/>
        </w:numPr>
        <w:spacing w:after="0"/>
        <w:contextualSpacing w:val="0"/>
        <w:jc w:val="both"/>
        <w:rPr>
          <w:rFonts w:cs="Times New Roman"/>
          <w:sz w:val="24"/>
          <w:szCs w:val="24"/>
        </w:rPr>
      </w:pPr>
      <w:r w:rsidRPr="00C13812">
        <w:rPr>
          <w:rFonts w:cs="Times New Roman"/>
          <w:sz w:val="24"/>
          <w:szCs w:val="24"/>
        </w:rPr>
        <w:t>Even though synergy effects will reduce SG&amp;A, COGS will increase because more restrictions on hydraulic fracturing</w:t>
      </w:r>
      <w:r>
        <w:rPr>
          <w:rFonts w:cs="Times New Roman"/>
          <w:sz w:val="24"/>
          <w:szCs w:val="24"/>
        </w:rPr>
        <w:t xml:space="preserve"> will </w:t>
      </w:r>
      <w:r>
        <w:rPr>
          <w:rFonts w:cs="Times New Roman" w:hint="eastAsia"/>
          <w:sz w:val="24"/>
          <w:szCs w:val="24"/>
        </w:rPr>
        <w:t xml:space="preserve">be </w:t>
      </w:r>
      <w:r>
        <w:rPr>
          <w:rFonts w:cs="Times New Roman"/>
          <w:sz w:val="24"/>
          <w:szCs w:val="24"/>
        </w:rPr>
        <w:t>probably</w:t>
      </w:r>
      <w:r>
        <w:rPr>
          <w:rFonts w:cs="Times New Roman" w:hint="eastAsia"/>
          <w:sz w:val="24"/>
          <w:szCs w:val="24"/>
        </w:rPr>
        <w:t xml:space="preserve"> put into exercise</w:t>
      </w:r>
      <w:r w:rsidRPr="00C13812">
        <w:rPr>
          <w:rFonts w:cs="Times New Roman"/>
          <w:sz w:val="24"/>
          <w:szCs w:val="24"/>
        </w:rPr>
        <w:t xml:space="preserve"> soon. Since COGS occupies about 80% of the total operating expenses, its change has greater impact on the operating income. </w:t>
      </w:r>
      <w:r>
        <w:rPr>
          <w:rFonts w:cs="Times New Roman"/>
          <w:sz w:val="24"/>
          <w:szCs w:val="24"/>
        </w:rPr>
        <w:t>A</w:t>
      </w:r>
      <w:r>
        <w:rPr>
          <w:rFonts w:cs="Times New Roman" w:hint="eastAsia"/>
          <w:sz w:val="24"/>
          <w:szCs w:val="24"/>
        </w:rPr>
        <w:t xml:space="preserve">dditionally, amortizing goodwill will negatively affect the EBIT margin. </w:t>
      </w:r>
      <w:r w:rsidRPr="00C13812">
        <w:rPr>
          <w:rFonts w:cs="Times New Roman"/>
          <w:sz w:val="24"/>
          <w:szCs w:val="24"/>
        </w:rPr>
        <w:t>Therefore, I assume EBIT margi</w:t>
      </w:r>
      <w:r>
        <w:rPr>
          <w:rFonts w:cs="Times New Roman"/>
          <w:sz w:val="24"/>
          <w:szCs w:val="24"/>
        </w:rPr>
        <w:t xml:space="preserve">ns will gradually decrease to </w:t>
      </w:r>
      <w:r>
        <w:rPr>
          <w:rFonts w:cs="Times New Roman" w:hint="eastAsia"/>
          <w:sz w:val="24"/>
          <w:szCs w:val="24"/>
        </w:rPr>
        <w:t>20</w:t>
      </w:r>
      <w:r>
        <w:rPr>
          <w:rFonts w:cs="Times New Roman"/>
          <w:sz w:val="24"/>
          <w:szCs w:val="24"/>
        </w:rPr>
        <w:t xml:space="preserve">%, </w:t>
      </w:r>
      <w:r>
        <w:rPr>
          <w:rFonts w:cs="Times New Roman" w:hint="eastAsia"/>
          <w:sz w:val="24"/>
          <w:szCs w:val="24"/>
        </w:rPr>
        <w:t>18</w:t>
      </w:r>
      <w:r>
        <w:rPr>
          <w:rFonts w:cs="Times New Roman"/>
          <w:sz w:val="24"/>
          <w:szCs w:val="24"/>
        </w:rPr>
        <w:t xml:space="preserve">%, </w:t>
      </w:r>
      <w:r>
        <w:rPr>
          <w:rFonts w:cs="Times New Roman" w:hint="eastAsia"/>
          <w:sz w:val="24"/>
          <w:szCs w:val="24"/>
        </w:rPr>
        <w:t>16</w:t>
      </w:r>
      <w:r>
        <w:rPr>
          <w:rFonts w:cs="Times New Roman"/>
          <w:sz w:val="24"/>
          <w:szCs w:val="24"/>
        </w:rPr>
        <w:t xml:space="preserve">%, </w:t>
      </w:r>
      <w:r>
        <w:rPr>
          <w:rFonts w:cs="Times New Roman" w:hint="eastAsia"/>
          <w:sz w:val="24"/>
          <w:szCs w:val="24"/>
        </w:rPr>
        <w:t>15</w:t>
      </w:r>
      <w:r w:rsidRPr="00C13812">
        <w:rPr>
          <w:rFonts w:cs="Times New Roman"/>
          <w:sz w:val="24"/>
          <w:szCs w:val="24"/>
        </w:rPr>
        <w:t xml:space="preserve">%, and </w:t>
      </w:r>
      <w:r>
        <w:rPr>
          <w:rFonts w:cs="Times New Roman" w:hint="eastAsia"/>
          <w:sz w:val="24"/>
          <w:szCs w:val="24"/>
        </w:rPr>
        <w:t>15</w:t>
      </w:r>
      <w:r w:rsidRPr="00C13812">
        <w:rPr>
          <w:rFonts w:cs="Times New Roman"/>
          <w:sz w:val="24"/>
          <w:szCs w:val="24"/>
        </w:rPr>
        <w:t>%, respectively in 2013-2017.</w:t>
      </w:r>
    </w:p>
    <w:p w:rsidR="00474248" w:rsidRDefault="00666BD8" w:rsidP="00474248">
      <w:pPr>
        <w:pStyle w:val="ListParagraph"/>
        <w:numPr>
          <w:ilvl w:val="0"/>
          <w:numId w:val="8"/>
        </w:numPr>
        <w:spacing w:after="0"/>
        <w:contextualSpacing w:val="0"/>
        <w:jc w:val="both"/>
        <w:rPr>
          <w:rFonts w:cs="Times New Roman" w:hint="eastAsia"/>
          <w:sz w:val="24"/>
          <w:szCs w:val="24"/>
        </w:rPr>
      </w:pPr>
      <w:r>
        <w:rPr>
          <w:rFonts w:cs="Times New Roman"/>
          <w:sz w:val="24"/>
          <w:szCs w:val="24"/>
        </w:rPr>
        <w:t xml:space="preserve">Balancing </w:t>
      </w:r>
      <w:r w:rsidR="00BB2C8E" w:rsidRPr="00323A38">
        <w:rPr>
          <w:rFonts w:cs="Times New Roman"/>
          <w:sz w:val="24"/>
          <w:szCs w:val="24"/>
        </w:rPr>
        <w:t>the increasing capital investm</w:t>
      </w:r>
      <w:r>
        <w:rPr>
          <w:rFonts w:cs="Times New Roman"/>
          <w:sz w:val="24"/>
          <w:szCs w:val="24"/>
        </w:rPr>
        <w:t xml:space="preserve">ent in completion activities </w:t>
      </w:r>
      <w:r>
        <w:rPr>
          <w:rFonts w:cs="Times New Roman" w:hint="eastAsia"/>
          <w:sz w:val="24"/>
          <w:szCs w:val="24"/>
        </w:rPr>
        <w:t>with</w:t>
      </w:r>
      <w:r w:rsidR="00BB2C8E" w:rsidRPr="00323A38">
        <w:rPr>
          <w:rFonts w:cs="Times New Roman"/>
          <w:sz w:val="24"/>
          <w:szCs w:val="24"/>
        </w:rPr>
        <w:t xml:space="preserve"> the decreasing demand for natural gas E&amp;P services, I assume the CAPEX will grow 30% and 20% in 2013 and 2014, respectively. For the reason that CJES plans to transfer its drilling activities from gas to oil, it’s likely that CJES will then incrementally purchase oil-drilling properties and equipment. Th</w:t>
      </w:r>
      <w:r w:rsidR="007F0ACF">
        <w:rPr>
          <w:rFonts w:cs="Times New Roman"/>
          <w:sz w:val="24"/>
          <w:szCs w:val="24"/>
        </w:rPr>
        <w:t xml:space="preserve">us, CAPEX is estimated to grow </w:t>
      </w:r>
      <w:r w:rsidR="007F0ACF">
        <w:rPr>
          <w:rFonts w:cs="Times New Roman" w:hint="eastAsia"/>
          <w:sz w:val="24"/>
          <w:szCs w:val="24"/>
        </w:rPr>
        <w:t>2</w:t>
      </w:r>
      <w:r w:rsidR="007F0ACF">
        <w:rPr>
          <w:rFonts w:cs="Times New Roman"/>
          <w:sz w:val="24"/>
          <w:szCs w:val="24"/>
        </w:rPr>
        <w:t xml:space="preserve">0%, </w:t>
      </w:r>
      <w:r w:rsidR="007F0ACF">
        <w:rPr>
          <w:rFonts w:cs="Times New Roman" w:hint="eastAsia"/>
          <w:sz w:val="24"/>
          <w:szCs w:val="24"/>
        </w:rPr>
        <w:t>2</w:t>
      </w:r>
      <w:r w:rsidR="007F0ACF">
        <w:rPr>
          <w:rFonts w:cs="Times New Roman"/>
          <w:sz w:val="24"/>
          <w:szCs w:val="24"/>
        </w:rPr>
        <w:t xml:space="preserve">0%, and </w:t>
      </w:r>
      <w:r w:rsidR="007F0ACF">
        <w:rPr>
          <w:rFonts w:cs="Times New Roman" w:hint="eastAsia"/>
          <w:sz w:val="24"/>
          <w:szCs w:val="24"/>
        </w:rPr>
        <w:t>3</w:t>
      </w:r>
      <w:r w:rsidR="00BB2C8E" w:rsidRPr="00323A38">
        <w:rPr>
          <w:rFonts w:cs="Times New Roman"/>
          <w:sz w:val="24"/>
          <w:szCs w:val="24"/>
        </w:rPr>
        <w:t>0% from 2015 to 2017, respectively.</w:t>
      </w:r>
    </w:p>
    <w:p w:rsidR="00BB2C8E" w:rsidRPr="00474248" w:rsidRDefault="00BB2C8E" w:rsidP="00474248">
      <w:pPr>
        <w:pStyle w:val="ListParagraph"/>
        <w:numPr>
          <w:ilvl w:val="0"/>
          <w:numId w:val="8"/>
        </w:numPr>
        <w:spacing w:after="0"/>
        <w:contextualSpacing w:val="0"/>
        <w:jc w:val="both"/>
        <w:rPr>
          <w:rFonts w:cs="Times New Roman"/>
          <w:sz w:val="24"/>
          <w:szCs w:val="24"/>
        </w:rPr>
      </w:pPr>
      <w:r w:rsidRPr="00474248">
        <w:rPr>
          <w:rFonts w:cs="Times New Roman"/>
          <w:sz w:val="24"/>
          <w:szCs w:val="24"/>
        </w:rPr>
        <w:lastRenderedPageBreak/>
        <w:t>Increase in NWC is estimated to be $</w:t>
      </w:r>
      <w:r w:rsidRPr="00474248">
        <w:rPr>
          <w:rFonts w:cs="Times New Roman" w:hint="eastAsia"/>
          <w:sz w:val="24"/>
          <w:szCs w:val="24"/>
        </w:rPr>
        <w:t>10</w:t>
      </w:r>
      <w:r w:rsidRPr="00474248">
        <w:rPr>
          <w:rFonts w:cs="Times New Roman"/>
          <w:sz w:val="24"/>
          <w:szCs w:val="24"/>
        </w:rPr>
        <w:t>0, $</w:t>
      </w:r>
      <w:r w:rsidRPr="00474248">
        <w:rPr>
          <w:rFonts w:cs="Times New Roman" w:hint="eastAsia"/>
          <w:sz w:val="24"/>
          <w:szCs w:val="24"/>
        </w:rPr>
        <w:t>15</w:t>
      </w:r>
      <w:r w:rsidRPr="00474248">
        <w:rPr>
          <w:rFonts w:cs="Times New Roman"/>
          <w:sz w:val="24"/>
          <w:szCs w:val="24"/>
        </w:rPr>
        <w:t>0, $</w:t>
      </w:r>
      <w:r w:rsidRPr="00474248">
        <w:rPr>
          <w:rFonts w:cs="Times New Roman" w:hint="eastAsia"/>
          <w:sz w:val="24"/>
          <w:szCs w:val="24"/>
        </w:rPr>
        <w:t>10</w:t>
      </w:r>
      <w:r w:rsidRPr="00474248">
        <w:rPr>
          <w:rFonts w:cs="Times New Roman"/>
          <w:sz w:val="24"/>
          <w:szCs w:val="24"/>
        </w:rPr>
        <w:t>0, $</w:t>
      </w:r>
      <w:r w:rsidRPr="00474248">
        <w:rPr>
          <w:rFonts w:cs="Times New Roman" w:hint="eastAsia"/>
          <w:sz w:val="24"/>
          <w:szCs w:val="24"/>
        </w:rPr>
        <w:t>5</w:t>
      </w:r>
      <w:r w:rsidRPr="00474248">
        <w:rPr>
          <w:rFonts w:cs="Times New Roman"/>
          <w:sz w:val="24"/>
          <w:szCs w:val="24"/>
        </w:rPr>
        <w:t xml:space="preserve">0 and </w:t>
      </w:r>
      <w:r w:rsidRPr="00474248">
        <w:rPr>
          <w:rFonts w:cs="Times New Roman" w:hint="eastAsia"/>
          <w:sz w:val="24"/>
          <w:szCs w:val="24"/>
        </w:rPr>
        <w:t>5</w:t>
      </w:r>
      <w:r w:rsidRPr="00474248">
        <w:rPr>
          <w:rFonts w:cs="Times New Roman"/>
          <w:sz w:val="24"/>
          <w:szCs w:val="24"/>
        </w:rPr>
        <w:t>0 (in million</w:t>
      </w:r>
      <w:r w:rsidR="00323A38" w:rsidRPr="00474248">
        <w:rPr>
          <w:rFonts w:cs="Times New Roman" w:hint="eastAsia"/>
          <w:sz w:val="24"/>
          <w:szCs w:val="24"/>
        </w:rPr>
        <w:t>s</w:t>
      </w:r>
      <w:r w:rsidRPr="00474248">
        <w:rPr>
          <w:rFonts w:cs="Times New Roman"/>
          <w:sz w:val="24"/>
          <w:szCs w:val="24"/>
        </w:rPr>
        <w:t>), respectively in 2013-2017, because the renew</w:t>
      </w:r>
      <w:r w:rsidRPr="00474248">
        <w:rPr>
          <w:rFonts w:cs="Times New Roman" w:hint="eastAsia"/>
          <w:sz w:val="24"/>
          <w:szCs w:val="24"/>
        </w:rPr>
        <w:t>al</w:t>
      </w:r>
      <w:r w:rsidRPr="00474248">
        <w:rPr>
          <w:rFonts w:cs="Times New Roman"/>
          <w:sz w:val="24"/>
          <w:szCs w:val="24"/>
        </w:rPr>
        <w:t xml:space="preserve"> of long-term contracts and customer delay will result in a </w:t>
      </w:r>
      <w:r w:rsidRPr="00474248">
        <w:rPr>
          <w:rFonts w:cs="Times New Roman" w:hint="eastAsia"/>
          <w:sz w:val="24"/>
          <w:szCs w:val="24"/>
        </w:rPr>
        <w:t>great deal</w:t>
      </w:r>
      <w:r w:rsidRPr="00474248">
        <w:rPr>
          <w:rFonts w:cs="Times New Roman"/>
          <w:sz w:val="24"/>
          <w:szCs w:val="24"/>
        </w:rPr>
        <w:t xml:space="preserve"> of account receivable. </w:t>
      </w:r>
    </w:p>
    <w:p w:rsidR="00BB2C8E" w:rsidRDefault="00BB2C8E" w:rsidP="00323A38">
      <w:pPr>
        <w:pStyle w:val="ListParagraph"/>
        <w:numPr>
          <w:ilvl w:val="0"/>
          <w:numId w:val="8"/>
        </w:numPr>
        <w:spacing w:after="0"/>
        <w:contextualSpacing w:val="0"/>
        <w:jc w:val="both"/>
        <w:rPr>
          <w:rFonts w:cs="Times New Roman" w:hint="eastAsia"/>
          <w:sz w:val="24"/>
          <w:szCs w:val="24"/>
        </w:rPr>
      </w:pPr>
      <w:r w:rsidRPr="00C13812">
        <w:rPr>
          <w:rFonts w:cs="Times New Roman"/>
          <w:sz w:val="24"/>
          <w:szCs w:val="24"/>
        </w:rPr>
        <w:t xml:space="preserve">Goodwill is anticipated </w:t>
      </w:r>
      <w:r>
        <w:rPr>
          <w:rFonts w:cs="Times New Roman"/>
          <w:sz w:val="24"/>
          <w:szCs w:val="24"/>
        </w:rPr>
        <w:t>to be about $</w:t>
      </w:r>
      <w:r>
        <w:rPr>
          <w:rFonts w:cs="Times New Roman" w:hint="eastAsia"/>
          <w:sz w:val="24"/>
          <w:szCs w:val="24"/>
        </w:rPr>
        <w:t>632</w:t>
      </w:r>
      <w:r w:rsidRPr="00C13812">
        <w:rPr>
          <w:rFonts w:cs="Times New Roman"/>
          <w:sz w:val="24"/>
          <w:szCs w:val="24"/>
        </w:rPr>
        <w:t xml:space="preserve"> </w:t>
      </w:r>
      <w:r w:rsidR="00323A38" w:rsidRPr="00C13812">
        <w:rPr>
          <w:rFonts w:cs="Times New Roman"/>
          <w:sz w:val="24"/>
          <w:szCs w:val="24"/>
        </w:rPr>
        <w:t>million</w:t>
      </w:r>
      <w:r w:rsidRPr="00C13812">
        <w:rPr>
          <w:rFonts w:cs="Times New Roman"/>
          <w:sz w:val="24"/>
          <w:szCs w:val="24"/>
        </w:rPr>
        <w:t xml:space="preserve"> by s</w:t>
      </w:r>
      <w:r>
        <w:rPr>
          <w:rFonts w:cs="Times New Roman" w:hint="eastAsia"/>
          <w:sz w:val="24"/>
          <w:szCs w:val="24"/>
        </w:rPr>
        <w:t>imply s</w:t>
      </w:r>
      <w:r w:rsidRPr="00C13812">
        <w:rPr>
          <w:rFonts w:cs="Times New Roman"/>
          <w:sz w:val="24"/>
          <w:szCs w:val="24"/>
        </w:rPr>
        <w:t xml:space="preserve">ubtracting the 2012 NWC and $500 million </w:t>
      </w:r>
      <w:r>
        <w:rPr>
          <w:rFonts w:cs="Times New Roman"/>
          <w:sz w:val="24"/>
          <w:szCs w:val="24"/>
        </w:rPr>
        <w:t xml:space="preserve">PPE from the </w:t>
      </w:r>
      <w:r>
        <w:rPr>
          <w:rFonts w:cs="Times New Roman" w:hint="eastAsia"/>
          <w:sz w:val="24"/>
          <w:szCs w:val="24"/>
        </w:rPr>
        <w:t>2012</w:t>
      </w:r>
      <w:r w:rsidRPr="00C13812">
        <w:rPr>
          <w:rFonts w:cs="Times New Roman"/>
          <w:sz w:val="24"/>
          <w:szCs w:val="24"/>
        </w:rPr>
        <w:t xml:space="preserve"> TEV. Total D&amp;</w:t>
      </w:r>
      <w:proofErr w:type="gramStart"/>
      <w:r w:rsidRPr="00C13812">
        <w:rPr>
          <w:rFonts w:cs="Times New Roman"/>
          <w:sz w:val="24"/>
          <w:szCs w:val="24"/>
        </w:rPr>
        <w:t>As</w:t>
      </w:r>
      <w:proofErr w:type="gramEnd"/>
      <w:r w:rsidRPr="00C13812">
        <w:rPr>
          <w:rFonts w:cs="Times New Roman"/>
          <w:sz w:val="24"/>
          <w:szCs w:val="24"/>
        </w:rPr>
        <w:t xml:space="preserve"> are then estimated by </w:t>
      </w:r>
      <w:r w:rsidR="00323A38">
        <w:rPr>
          <w:rFonts w:cs="Times New Roman"/>
          <w:sz w:val="24"/>
          <w:szCs w:val="24"/>
        </w:rPr>
        <w:t xml:space="preserve">using the MACRS method </w:t>
      </w:r>
      <w:r w:rsidR="00323A38">
        <w:rPr>
          <w:rFonts w:cs="Times New Roman" w:hint="eastAsia"/>
          <w:sz w:val="24"/>
          <w:szCs w:val="24"/>
        </w:rPr>
        <w:t>(</w:t>
      </w:r>
      <w:r w:rsidR="007F0ACF">
        <w:rPr>
          <w:rFonts w:cs="Times New Roman"/>
          <w:sz w:val="24"/>
          <w:szCs w:val="24"/>
        </w:rPr>
        <w:t xml:space="preserve">Exhibit </w:t>
      </w:r>
      <w:r w:rsidR="007F0ACF">
        <w:rPr>
          <w:rFonts w:cs="Times New Roman" w:hint="eastAsia"/>
          <w:sz w:val="24"/>
          <w:szCs w:val="24"/>
        </w:rPr>
        <w:t>4</w:t>
      </w:r>
      <w:r w:rsidR="00323A38">
        <w:rPr>
          <w:rFonts w:cs="Times New Roman" w:hint="eastAsia"/>
          <w:sz w:val="24"/>
          <w:szCs w:val="24"/>
        </w:rPr>
        <w:t>)</w:t>
      </w:r>
      <w:r w:rsidRPr="00C13812">
        <w:rPr>
          <w:rFonts w:cs="Times New Roman"/>
          <w:sz w:val="24"/>
          <w:szCs w:val="24"/>
        </w:rPr>
        <w:t>.</w:t>
      </w:r>
    </w:p>
    <w:p w:rsidR="00283330" w:rsidRDefault="00283330" w:rsidP="00323A38">
      <w:pPr>
        <w:pStyle w:val="ListParagraph"/>
        <w:numPr>
          <w:ilvl w:val="0"/>
          <w:numId w:val="8"/>
        </w:numPr>
        <w:spacing w:after="0"/>
        <w:contextualSpacing w:val="0"/>
        <w:jc w:val="both"/>
        <w:rPr>
          <w:rFonts w:cs="Times New Roman"/>
          <w:sz w:val="24"/>
          <w:szCs w:val="24"/>
        </w:rPr>
      </w:pPr>
      <w:r>
        <w:rPr>
          <w:rFonts w:cs="Times New Roman" w:hint="eastAsia"/>
          <w:sz w:val="24"/>
          <w:szCs w:val="24"/>
        </w:rPr>
        <w:t xml:space="preserve">Existing PPE is depreciated by assuming </w:t>
      </w:r>
      <w:r>
        <w:rPr>
          <w:rFonts w:cs="Times New Roman"/>
          <w:sz w:val="24"/>
          <w:szCs w:val="24"/>
        </w:rPr>
        <w:t>¼</w:t>
      </w:r>
      <w:r>
        <w:rPr>
          <w:rFonts w:cs="Times New Roman" w:hint="eastAsia"/>
          <w:sz w:val="24"/>
          <w:szCs w:val="24"/>
        </w:rPr>
        <w:t xml:space="preserve"> 5 year MACRS, </w:t>
      </w:r>
      <w:r>
        <w:rPr>
          <w:rFonts w:cs="Times New Roman"/>
          <w:sz w:val="24"/>
          <w:szCs w:val="24"/>
        </w:rPr>
        <w:t>½</w:t>
      </w:r>
      <w:r>
        <w:rPr>
          <w:rFonts w:cs="Times New Roman" w:hint="eastAsia"/>
          <w:sz w:val="24"/>
          <w:szCs w:val="24"/>
        </w:rPr>
        <w:t xml:space="preserve"> 7 year MACRS, and </w:t>
      </w:r>
      <w:r>
        <w:rPr>
          <w:rFonts w:cs="Times New Roman"/>
          <w:sz w:val="24"/>
          <w:szCs w:val="24"/>
        </w:rPr>
        <w:t>¼</w:t>
      </w:r>
      <w:r>
        <w:rPr>
          <w:rFonts w:cs="Times New Roman" w:hint="eastAsia"/>
          <w:sz w:val="24"/>
          <w:szCs w:val="24"/>
        </w:rPr>
        <w:t xml:space="preserve"> 10 year MACRS. New CAPEX (CAPEX estimation in DCF model) is only depreciated by 7 year MACRS. Total D&amp;A estimations (Exhibit 4) are linked back to the DCF model.</w:t>
      </w:r>
    </w:p>
    <w:p w:rsidR="00323A38" w:rsidRDefault="00323A38" w:rsidP="00323A38">
      <w:pPr>
        <w:spacing w:after="0"/>
        <w:ind w:left="420"/>
        <w:jc w:val="both"/>
        <w:rPr>
          <w:rFonts w:cs="Times New Roman"/>
          <w:sz w:val="24"/>
          <w:szCs w:val="24"/>
        </w:rPr>
      </w:pPr>
    </w:p>
    <w:p w:rsidR="00323A38" w:rsidRPr="00323A38" w:rsidRDefault="00323A38" w:rsidP="00323A38">
      <w:pPr>
        <w:spacing w:after="0"/>
        <w:jc w:val="both"/>
        <w:rPr>
          <w:rFonts w:cs="Times New Roman"/>
          <w:sz w:val="24"/>
          <w:szCs w:val="24"/>
        </w:rPr>
      </w:pPr>
      <w:r>
        <w:rPr>
          <w:rFonts w:cs="Times New Roman" w:hint="eastAsia"/>
          <w:sz w:val="24"/>
          <w:szCs w:val="24"/>
          <w:u w:val="single"/>
        </w:rPr>
        <w:t>Table 2</w:t>
      </w:r>
      <w:r w:rsidRPr="00323A38">
        <w:rPr>
          <w:rFonts w:cs="Times New Roman" w:hint="eastAsia"/>
          <w:sz w:val="24"/>
          <w:szCs w:val="24"/>
          <w:u w:val="single"/>
        </w:rPr>
        <w:t>:</w:t>
      </w:r>
      <w:r>
        <w:rPr>
          <w:rFonts w:cs="Times New Roman" w:hint="eastAsia"/>
          <w:sz w:val="24"/>
          <w:szCs w:val="24"/>
          <w:u w:val="single"/>
        </w:rPr>
        <w:t xml:space="preserve"> Sensitivity Table</w:t>
      </w:r>
    </w:p>
    <w:p w:rsidR="00BB2C8E" w:rsidRDefault="00283330" w:rsidP="00323A38">
      <w:pPr>
        <w:rPr>
          <w:rFonts w:ascii="Times New Roman" w:hAnsi="Times New Roman" w:cs="Times New Roman"/>
          <w:sz w:val="24"/>
          <w:szCs w:val="24"/>
        </w:rPr>
      </w:pPr>
      <w:r w:rsidRPr="00283330">
        <w:drawing>
          <wp:inline distT="0" distB="0" distL="0" distR="0">
            <wp:extent cx="4200525" cy="1914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1914525"/>
                    </a:xfrm>
                    <a:prstGeom prst="rect">
                      <a:avLst/>
                    </a:prstGeom>
                    <a:noFill/>
                    <a:ln>
                      <a:noFill/>
                    </a:ln>
                  </pic:spPr>
                </pic:pic>
              </a:graphicData>
            </a:graphic>
          </wp:inline>
        </w:drawing>
      </w:r>
    </w:p>
    <w:p w:rsidR="00BB2C8E" w:rsidRDefault="00BB2C8E" w:rsidP="00D86C8E">
      <w:pPr>
        <w:jc w:val="both"/>
        <w:rPr>
          <w:rFonts w:cs="Times New Roman"/>
          <w:sz w:val="24"/>
          <w:szCs w:val="24"/>
        </w:rPr>
      </w:pPr>
      <w:r w:rsidRPr="00C13812">
        <w:rPr>
          <w:rFonts w:cs="Times New Roman"/>
          <w:sz w:val="24"/>
          <w:szCs w:val="24"/>
        </w:rPr>
        <w:t xml:space="preserve">According </w:t>
      </w:r>
      <w:r w:rsidR="001F4FD0">
        <w:rPr>
          <w:rFonts w:cs="Times New Roman"/>
          <w:sz w:val="24"/>
          <w:szCs w:val="24"/>
        </w:rPr>
        <w:t xml:space="preserve">to sensitivity analysis </w:t>
      </w:r>
      <w:r w:rsidR="001F4FD0">
        <w:rPr>
          <w:rFonts w:cs="Times New Roman" w:hint="eastAsia"/>
          <w:sz w:val="24"/>
          <w:szCs w:val="24"/>
        </w:rPr>
        <w:t>(Table 2)</w:t>
      </w:r>
      <w:r w:rsidRPr="00C13812">
        <w:rPr>
          <w:rFonts w:cs="Times New Roman"/>
          <w:sz w:val="24"/>
          <w:szCs w:val="24"/>
        </w:rPr>
        <w:t>, the equity value and price of CJES on 12/31/2012 will increase up to $</w:t>
      </w:r>
      <w:r>
        <w:rPr>
          <w:rFonts w:cs="Times New Roman"/>
          <w:sz w:val="24"/>
          <w:szCs w:val="24"/>
        </w:rPr>
        <w:t>1,</w:t>
      </w:r>
      <w:r w:rsidR="00570900">
        <w:rPr>
          <w:rFonts w:cs="Times New Roman" w:hint="eastAsia"/>
          <w:sz w:val="24"/>
          <w:szCs w:val="24"/>
        </w:rPr>
        <w:t>368.32</w:t>
      </w:r>
      <w:r w:rsidRPr="00C13812">
        <w:rPr>
          <w:rFonts w:cs="Times New Roman"/>
          <w:sz w:val="24"/>
          <w:szCs w:val="24"/>
        </w:rPr>
        <w:t xml:space="preserve"> million, $</w:t>
      </w:r>
      <w:r>
        <w:rPr>
          <w:rFonts w:cs="Times New Roman"/>
          <w:sz w:val="24"/>
          <w:szCs w:val="24"/>
        </w:rPr>
        <w:t>2</w:t>
      </w:r>
      <w:r w:rsidR="00570900">
        <w:rPr>
          <w:rFonts w:cs="Times New Roman" w:hint="eastAsia"/>
          <w:sz w:val="24"/>
          <w:szCs w:val="24"/>
        </w:rPr>
        <w:t>5.29</w:t>
      </w:r>
      <w:r w:rsidRPr="00C13812">
        <w:rPr>
          <w:rFonts w:cs="Times New Roman"/>
          <w:sz w:val="24"/>
          <w:szCs w:val="24"/>
        </w:rPr>
        <w:t xml:space="preserve"> in the best situation, drop to </w:t>
      </w:r>
      <w:r w:rsidRPr="00D86C8E">
        <w:rPr>
          <w:rFonts w:cs="Times New Roman"/>
          <w:sz w:val="24"/>
          <w:szCs w:val="24"/>
        </w:rPr>
        <w:t>$1,</w:t>
      </w:r>
      <w:r w:rsidR="00570900">
        <w:rPr>
          <w:rFonts w:cs="Times New Roman" w:hint="eastAsia"/>
          <w:sz w:val="24"/>
          <w:szCs w:val="24"/>
        </w:rPr>
        <w:t>232.01</w:t>
      </w:r>
      <w:r w:rsidRPr="00D86C8E">
        <w:rPr>
          <w:rFonts w:cs="Times New Roman"/>
          <w:sz w:val="24"/>
          <w:szCs w:val="24"/>
        </w:rPr>
        <w:t xml:space="preserve"> million</w:t>
      </w:r>
      <w:r w:rsidRPr="00C13812">
        <w:rPr>
          <w:rFonts w:cs="Times New Roman"/>
          <w:sz w:val="24"/>
          <w:szCs w:val="24"/>
        </w:rPr>
        <w:t>, $</w:t>
      </w:r>
      <w:r>
        <w:rPr>
          <w:rFonts w:cs="Times New Roman"/>
          <w:sz w:val="24"/>
          <w:szCs w:val="24"/>
        </w:rPr>
        <w:t>2</w:t>
      </w:r>
      <w:r w:rsidR="00570900">
        <w:rPr>
          <w:rFonts w:cs="Times New Roman" w:hint="eastAsia"/>
          <w:sz w:val="24"/>
          <w:szCs w:val="24"/>
        </w:rPr>
        <w:t>2.77</w:t>
      </w:r>
      <w:r w:rsidRPr="00C13812">
        <w:rPr>
          <w:rFonts w:cs="Times New Roman"/>
          <w:sz w:val="24"/>
          <w:szCs w:val="24"/>
        </w:rPr>
        <w:t xml:space="preserve"> in the normal situation, or jump down to $</w:t>
      </w:r>
      <w:r w:rsidR="00570900">
        <w:rPr>
          <w:rFonts w:cs="Times New Roman" w:hint="eastAsia"/>
          <w:sz w:val="24"/>
          <w:szCs w:val="24"/>
        </w:rPr>
        <w:t>1,109.88</w:t>
      </w:r>
      <w:r w:rsidRPr="00C13812">
        <w:rPr>
          <w:rFonts w:cs="Times New Roman"/>
          <w:sz w:val="24"/>
          <w:szCs w:val="24"/>
        </w:rPr>
        <w:t xml:space="preserve"> million, $</w:t>
      </w:r>
      <w:r w:rsidR="00570900">
        <w:rPr>
          <w:rFonts w:cs="Times New Roman" w:hint="eastAsia"/>
          <w:sz w:val="24"/>
          <w:szCs w:val="24"/>
        </w:rPr>
        <w:t>20.52</w:t>
      </w:r>
      <w:r w:rsidRPr="00C13812">
        <w:rPr>
          <w:rFonts w:cs="Times New Roman"/>
          <w:sz w:val="24"/>
          <w:szCs w:val="24"/>
        </w:rPr>
        <w:t xml:space="preserve"> in the worst case. </w:t>
      </w:r>
    </w:p>
    <w:p w:rsidR="001F4FD0" w:rsidRPr="00C13812" w:rsidRDefault="001F4FD0" w:rsidP="00D86C8E">
      <w:pPr>
        <w:jc w:val="both"/>
        <w:rPr>
          <w:rFonts w:cs="Times New Roman"/>
          <w:sz w:val="24"/>
          <w:szCs w:val="24"/>
        </w:rPr>
      </w:pPr>
    </w:p>
    <w:p w:rsidR="00BB2C8E" w:rsidRPr="00323A38" w:rsidRDefault="00BB2C8E" w:rsidP="00323A38">
      <w:pPr>
        <w:rPr>
          <w:rFonts w:ascii="Times New Roman" w:hAnsi="Times New Roman" w:cs="Times New Roman"/>
          <w:sz w:val="24"/>
          <w:szCs w:val="24"/>
        </w:rPr>
      </w:pPr>
      <w:r w:rsidRPr="00C13812">
        <w:rPr>
          <w:rFonts w:cs="Times New Roman"/>
          <w:b/>
          <w:noProof/>
          <w:color w:val="C00000"/>
          <w:sz w:val="32"/>
          <w:szCs w:val="32"/>
        </w:rPr>
        <mc:AlternateContent>
          <mc:Choice Requires="wps">
            <w:drawing>
              <wp:anchor distT="4294967295" distB="4294967295" distL="114300" distR="114300" simplePos="0" relativeHeight="251660288" behindDoc="0" locked="0" layoutInCell="1" allowOverlap="1" wp14:anchorId="0118CC52" wp14:editId="2F631D16">
                <wp:simplePos x="0" y="0"/>
                <wp:positionH relativeFrom="column">
                  <wp:posOffset>-123825</wp:posOffset>
                </wp:positionH>
                <wp:positionV relativeFrom="paragraph">
                  <wp:posOffset>295274</wp:posOffset>
                </wp:positionV>
                <wp:extent cx="62865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3.25pt" to="485.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" strokecolor="#4f81bd [3204]" strokeweight="2pt">
                <o:lock v:ext="edit" shapetype="f"/>
              </v:line>
            </w:pict>
          </mc:Fallback>
        </mc:AlternateContent>
      </w:r>
      <w:r w:rsidRPr="00C13812">
        <w:rPr>
          <w:rFonts w:cs="Times New Roman"/>
          <w:b/>
          <w:color w:val="C00000"/>
          <w:sz w:val="32"/>
          <w:szCs w:val="32"/>
        </w:rPr>
        <w:t>Relative Valuation Model</w:t>
      </w:r>
    </w:p>
    <w:p w:rsidR="00BB2C8E" w:rsidRDefault="00BB2C8E" w:rsidP="00D86C8E">
      <w:pPr>
        <w:spacing w:after="0"/>
        <w:jc w:val="both"/>
        <w:rPr>
          <w:sz w:val="24"/>
          <w:szCs w:val="24"/>
        </w:rPr>
      </w:pPr>
      <w:r>
        <w:rPr>
          <w:rFonts w:hint="eastAsia"/>
          <w:sz w:val="24"/>
          <w:szCs w:val="24"/>
        </w:rPr>
        <w:t>In this section of the paper, CJES</w:t>
      </w:r>
      <w:r>
        <w:rPr>
          <w:sz w:val="24"/>
          <w:szCs w:val="24"/>
        </w:rPr>
        <w:t>’</w:t>
      </w:r>
      <w:r>
        <w:rPr>
          <w:rFonts w:hint="eastAsia"/>
          <w:sz w:val="24"/>
          <w:szCs w:val="24"/>
        </w:rPr>
        <w:t>s equity value is estimated by the relative valuation model. This is looking at CJES</w:t>
      </w:r>
      <w:r>
        <w:rPr>
          <w:sz w:val="24"/>
          <w:szCs w:val="24"/>
        </w:rPr>
        <w:t>’</w:t>
      </w:r>
      <w:r>
        <w:rPr>
          <w:rFonts w:hint="eastAsia"/>
          <w:sz w:val="24"/>
          <w:szCs w:val="24"/>
        </w:rPr>
        <w:t>s two important ratios: enterprise-based TEV/EBITDA ratio and equity-based P/E ratio</w:t>
      </w:r>
      <w:r w:rsidR="001F4FD0">
        <w:rPr>
          <w:rFonts w:hint="eastAsia"/>
          <w:sz w:val="24"/>
          <w:szCs w:val="24"/>
        </w:rPr>
        <w:t xml:space="preserve"> (Table 3)</w:t>
      </w:r>
      <w:r>
        <w:rPr>
          <w:rFonts w:hint="eastAsia"/>
          <w:sz w:val="24"/>
          <w:szCs w:val="24"/>
        </w:rPr>
        <w:t>.</w:t>
      </w:r>
    </w:p>
    <w:p w:rsidR="00BB2C8E" w:rsidRDefault="00BB2C8E" w:rsidP="00D86C8E">
      <w:pPr>
        <w:spacing w:after="0"/>
        <w:jc w:val="both"/>
        <w:rPr>
          <w:sz w:val="24"/>
          <w:szCs w:val="24"/>
        </w:rPr>
      </w:pPr>
    </w:p>
    <w:p w:rsidR="00BB2C8E" w:rsidRPr="00E91595" w:rsidRDefault="00BB2C8E" w:rsidP="00D86C8E">
      <w:pPr>
        <w:spacing w:after="0"/>
        <w:jc w:val="both"/>
        <w:rPr>
          <w:b/>
          <w:sz w:val="24"/>
          <w:szCs w:val="24"/>
        </w:rPr>
      </w:pPr>
      <w:r>
        <w:rPr>
          <w:rFonts w:hint="eastAsia"/>
          <w:b/>
          <w:sz w:val="24"/>
          <w:szCs w:val="24"/>
        </w:rPr>
        <w:t>Selection of Comparable F</w:t>
      </w:r>
      <w:r w:rsidRPr="00E91595">
        <w:rPr>
          <w:rFonts w:hint="eastAsia"/>
          <w:b/>
          <w:sz w:val="24"/>
          <w:szCs w:val="24"/>
        </w:rPr>
        <w:t>irms</w:t>
      </w:r>
    </w:p>
    <w:p w:rsidR="00474248" w:rsidRDefault="00BB2C8E" w:rsidP="00D86C8E">
      <w:pPr>
        <w:spacing w:after="0"/>
        <w:jc w:val="both"/>
        <w:rPr>
          <w:sz w:val="24"/>
          <w:szCs w:val="24"/>
        </w:rPr>
      </w:pPr>
      <w:r>
        <w:rPr>
          <w:rFonts w:hint="eastAsia"/>
          <w:sz w:val="24"/>
          <w:szCs w:val="24"/>
        </w:rPr>
        <w:t xml:space="preserve">Four most comparable firms: Basic Energy Services (BAS), </w:t>
      </w:r>
      <w:proofErr w:type="spellStart"/>
      <w:r>
        <w:rPr>
          <w:rFonts w:hint="eastAsia"/>
          <w:sz w:val="24"/>
          <w:szCs w:val="24"/>
        </w:rPr>
        <w:t>Newpark</w:t>
      </w:r>
      <w:proofErr w:type="spellEnd"/>
      <w:r>
        <w:rPr>
          <w:rFonts w:hint="eastAsia"/>
          <w:sz w:val="24"/>
          <w:szCs w:val="24"/>
        </w:rPr>
        <w:t xml:space="preserve"> Resource (NR), Pioneer Energy Services (PES), and Key Energy Services (KEG), are selected based on the following criteria:</w:t>
      </w:r>
    </w:p>
    <w:p w:rsidR="00BB2C8E" w:rsidRDefault="00BB2C8E" w:rsidP="00474248">
      <w:pPr>
        <w:rPr>
          <w:sz w:val="24"/>
          <w:szCs w:val="24"/>
        </w:rPr>
      </w:pPr>
    </w:p>
    <w:p w:rsidR="00BB2C8E" w:rsidRDefault="00BB2C8E" w:rsidP="00D86C8E">
      <w:pPr>
        <w:pStyle w:val="ListParagraph"/>
        <w:numPr>
          <w:ilvl w:val="0"/>
          <w:numId w:val="9"/>
        </w:numPr>
        <w:spacing w:after="0"/>
        <w:jc w:val="both"/>
        <w:rPr>
          <w:sz w:val="24"/>
          <w:szCs w:val="24"/>
        </w:rPr>
      </w:pPr>
      <w:r>
        <w:rPr>
          <w:sz w:val="24"/>
          <w:szCs w:val="24"/>
        </w:rPr>
        <w:lastRenderedPageBreak/>
        <w:t>T</w:t>
      </w:r>
      <w:r>
        <w:rPr>
          <w:rFonts w:hint="eastAsia"/>
          <w:sz w:val="24"/>
          <w:szCs w:val="24"/>
        </w:rPr>
        <w:t>hey provide similar products and services: hydraulic fracturing, coil tubing, well site, and other oil/natural gas E&amp;P-related products and services.</w:t>
      </w:r>
    </w:p>
    <w:p w:rsidR="00BB2C8E" w:rsidRDefault="00BB2C8E" w:rsidP="00D86C8E">
      <w:pPr>
        <w:pStyle w:val="ListParagraph"/>
        <w:numPr>
          <w:ilvl w:val="0"/>
          <w:numId w:val="9"/>
        </w:numPr>
        <w:spacing w:after="0"/>
        <w:jc w:val="both"/>
        <w:rPr>
          <w:sz w:val="24"/>
          <w:szCs w:val="24"/>
        </w:rPr>
      </w:pPr>
      <w:r>
        <w:rPr>
          <w:sz w:val="24"/>
          <w:szCs w:val="24"/>
        </w:rPr>
        <w:t>T</w:t>
      </w:r>
      <w:r>
        <w:rPr>
          <w:rFonts w:hint="eastAsia"/>
          <w:sz w:val="24"/>
          <w:szCs w:val="24"/>
        </w:rPr>
        <w:t>heir LTM revenues are in a range between $900 million to $2,000 million.</w:t>
      </w:r>
    </w:p>
    <w:p w:rsidR="00BB2C8E" w:rsidRDefault="00BB2C8E" w:rsidP="00D86C8E">
      <w:pPr>
        <w:pStyle w:val="ListParagraph"/>
        <w:numPr>
          <w:ilvl w:val="0"/>
          <w:numId w:val="9"/>
        </w:numPr>
        <w:spacing w:after="0"/>
        <w:jc w:val="both"/>
        <w:rPr>
          <w:sz w:val="24"/>
          <w:szCs w:val="24"/>
        </w:rPr>
      </w:pPr>
      <w:r>
        <w:rPr>
          <w:sz w:val="24"/>
          <w:szCs w:val="24"/>
        </w:rPr>
        <w:t>T</w:t>
      </w:r>
      <w:r>
        <w:rPr>
          <w:rFonts w:hint="eastAsia"/>
          <w:sz w:val="24"/>
          <w:szCs w:val="24"/>
        </w:rPr>
        <w:t>hey are all NYSE listed and set their primary business in the United States.</w:t>
      </w:r>
    </w:p>
    <w:p w:rsidR="001F4FD0" w:rsidRDefault="001F4FD0" w:rsidP="00D86C8E">
      <w:pPr>
        <w:spacing w:after="0"/>
        <w:jc w:val="both"/>
        <w:rPr>
          <w:rFonts w:cs="Times New Roman"/>
          <w:sz w:val="24"/>
          <w:szCs w:val="24"/>
          <w:u w:val="single"/>
        </w:rPr>
      </w:pPr>
    </w:p>
    <w:p w:rsidR="00BB2C8E" w:rsidRPr="001F4FD0" w:rsidRDefault="001F4FD0" w:rsidP="00D86C8E">
      <w:pPr>
        <w:spacing w:after="0"/>
        <w:jc w:val="both"/>
        <w:rPr>
          <w:sz w:val="24"/>
          <w:szCs w:val="24"/>
          <w:u w:val="single"/>
        </w:rPr>
      </w:pPr>
      <w:r>
        <w:rPr>
          <w:rFonts w:cs="Times New Roman" w:hint="eastAsia"/>
          <w:sz w:val="24"/>
          <w:szCs w:val="24"/>
          <w:u w:val="single"/>
        </w:rPr>
        <w:t>Table 3</w:t>
      </w:r>
      <w:r w:rsidRPr="001F4FD0">
        <w:rPr>
          <w:rFonts w:cs="Times New Roman" w:hint="eastAsia"/>
          <w:sz w:val="24"/>
          <w:szCs w:val="24"/>
          <w:u w:val="single"/>
        </w:rPr>
        <w:t xml:space="preserve">: </w:t>
      </w:r>
      <w:r>
        <w:rPr>
          <w:rFonts w:hint="eastAsia"/>
          <w:sz w:val="24"/>
          <w:szCs w:val="24"/>
          <w:u w:val="single"/>
        </w:rPr>
        <w:t xml:space="preserve">TEB/EBITDA </w:t>
      </w:r>
      <w:r w:rsidR="00BB2C8E" w:rsidRPr="001F4FD0">
        <w:rPr>
          <w:rFonts w:hint="eastAsia"/>
          <w:sz w:val="24"/>
          <w:szCs w:val="24"/>
          <w:u w:val="single"/>
        </w:rPr>
        <w:t>and P/E Ratio</w:t>
      </w:r>
    </w:p>
    <w:p w:rsidR="00BB2C8E" w:rsidRDefault="00570900" w:rsidP="00570900">
      <w:pPr>
        <w:rPr>
          <w:sz w:val="24"/>
          <w:szCs w:val="24"/>
        </w:rPr>
      </w:pPr>
      <w:r w:rsidRPr="00570900">
        <w:drawing>
          <wp:inline distT="0" distB="0" distL="0" distR="0">
            <wp:extent cx="4467225" cy="32096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3209645"/>
                    </a:xfrm>
                    <a:prstGeom prst="rect">
                      <a:avLst/>
                    </a:prstGeom>
                    <a:noFill/>
                    <a:ln>
                      <a:noFill/>
                    </a:ln>
                  </pic:spPr>
                </pic:pic>
              </a:graphicData>
            </a:graphic>
          </wp:inline>
        </w:drawing>
      </w:r>
    </w:p>
    <w:p w:rsidR="00BB2C8E" w:rsidRDefault="00BB2C8E" w:rsidP="00474248">
      <w:pPr>
        <w:spacing w:after="0"/>
        <w:rPr>
          <w:sz w:val="24"/>
          <w:szCs w:val="24"/>
        </w:rPr>
      </w:pPr>
      <w:r>
        <w:rPr>
          <w:rFonts w:hint="eastAsia"/>
          <w:sz w:val="24"/>
          <w:szCs w:val="24"/>
        </w:rPr>
        <w:t>Extracting 2011-2012 data from Bloomberg as shown in the above table, I decided to use the 2012 cross-sectional averaged ratios because the most recent historical data are more representative. Then the estimated TEV is obtained as $1,504 million and $2,061 million, respectively, by multiplying the ratios with projected EBITDA and proje</w:t>
      </w:r>
      <w:r w:rsidR="00012102">
        <w:rPr>
          <w:rFonts w:hint="eastAsia"/>
          <w:sz w:val="24"/>
          <w:szCs w:val="24"/>
        </w:rPr>
        <w:t>cted earnings at the end of 2012</w:t>
      </w:r>
      <w:r>
        <w:rPr>
          <w:rFonts w:hint="eastAsia"/>
          <w:sz w:val="24"/>
          <w:szCs w:val="24"/>
        </w:rPr>
        <w:t xml:space="preserve">. Consequently, the total equity value and implied stock price on 12/31/2012 are </w:t>
      </w:r>
      <w:r w:rsidRPr="00D86C8E">
        <w:rPr>
          <w:rFonts w:hint="eastAsia"/>
          <w:sz w:val="24"/>
          <w:szCs w:val="24"/>
        </w:rPr>
        <w:t>$1,344.97 million, $20.19 and $1,902.03 million,</w:t>
      </w:r>
      <w:r>
        <w:rPr>
          <w:rFonts w:hint="eastAsia"/>
          <w:sz w:val="24"/>
          <w:szCs w:val="24"/>
        </w:rPr>
        <w:t xml:space="preserve"> $24.96 under TEV/EBITDA and P/E ratio method, respectively.</w:t>
      </w:r>
    </w:p>
    <w:p w:rsidR="001F4FD0" w:rsidRDefault="001F4FD0" w:rsidP="00D86C8E">
      <w:pPr>
        <w:rPr>
          <w:sz w:val="24"/>
          <w:szCs w:val="24"/>
        </w:rPr>
      </w:pPr>
    </w:p>
    <w:p w:rsidR="00BB2C8E" w:rsidRPr="00C13812" w:rsidRDefault="00BB2C8E" w:rsidP="00BB2C8E">
      <w:pPr>
        <w:jc w:val="both"/>
        <w:rPr>
          <w:rFonts w:cs="Times New Roman"/>
          <w:b/>
          <w:color w:val="C00000"/>
          <w:sz w:val="32"/>
          <w:szCs w:val="32"/>
        </w:rPr>
      </w:pPr>
      <w:r w:rsidRPr="00C13812">
        <w:rPr>
          <w:rFonts w:cs="Times New Roman"/>
          <w:b/>
          <w:noProof/>
          <w:color w:val="C00000"/>
          <w:sz w:val="32"/>
          <w:szCs w:val="32"/>
        </w:rPr>
        <mc:AlternateContent>
          <mc:Choice Requires="wps">
            <w:drawing>
              <wp:anchor distT="4294967295" distB="4294967295" distL="114300" distR="114300" simplePos="0" relativeHeight="251662336" behindDoc="0" locked="0" layoutInCell="1" allowOverlap="1" wp14:anchorId="56717D5B" wp14:editId="5AE2F1A9">
                <wp:simplePos x="0" y="0"/>
                <wp:positionH relativeFrom="column">
                  <wp:posOffset>-123825</wp:posOffset>
                </wp:positionH>
                <wp:positionV relativeFrom="paragraph">
                  <wp:posOffset>295274</wp:posOffset>
                </wp:positionV>
                <wp:extent cx="62865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3.25pt" to="485.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" strokecolor="#4f81bd [3204]" strokeweight="2pt">
                <o:lock v:ext="edit" shapetype="f"/>
              </v:line>
            </w:pict>
          </mc:Fallback>
        </mc:AlternateContent>
      </w:r>
      <w:r w:rsidRPr="00C13812">
        <w:rPr>
          <w:rFonts w:cs="Times New Roman"/>
          <w:b/>
          <w:color w:val="C00000"/>
          <w:sz w:val="32"/>
          <w:szCs w:val="32"/>
        </w:rPr>
        <w:t>Control Transaction Valuation</w:t>
      </w:r>
    </w:p>
    <w:p w:rsidR="001F4FD0" w:rsidRDefault="00BB2C8E" w:rsidP="00474248">
      <w:pPr>
        <w:jc w:val="both"/>
        <w:rPr>
          <w:sz w:val="24"/>
          <w:szCs w:val="24"/>
        </w:rPr>
      </w:pPr>
      <w:r>
        <w:rPr>
          <w:rFonts w:hint="eastAsia"/>
          <w:sz w:val="24"/>
          <w:szCs w:val="24"/>
        </w:rPr>
        <w:t>In this section, CJES</w:t>
      </w:r>
      <w:r>
        <w:rPr>
          <w:sz w:val="24"/>
          <w:szCs w:val="24"/>
        </w:rPr>
        <w:t>’</w:t>
      </w:r>
      <w:r>
        <w:rPr>
          <w:rFonts w:hint="eastAsia"/>
          <w:sz w:val="24"/>
          <w:szCs w:val="24"/>
        </w:rPr>
        <w:t xml:space="preserve">s equity value is estimated by the control transaction method. </w:t>
      </w:r>
      <w:r>
        <w:rPr>
          <w:sz w:val="24"/>
          <w:szCs w:val="24"/>
        </w:rPr>
        <w:t>S</w:t>
      </w:r>
      <w:r>
        <w:rPr>
          <w:rFonts w:hint="eastAsia"/>
          <w:sz w:val="24"/>
          <w:szCs w:val="24"/>
        </w:rPr>
        <w:t>ix typical transactions are selected from CJES</w:t>
      </w:r>
      <w:r>
        <w:rPr>
          <w:sz w:val="24"/>
          <w:szCs w:val="24"/>
        </w:rPr>
        <w:t>’</w:t>
      </w:r>
      <w:r>
        <w:rPr>
          <w:rFonts w:hint="eastAsia"/>
          <w:sz w:val="24"/>
          <w:szCs w:val="24"/>
        </w:rPr>
        <w:t>s competitors</w:t>
      </w:r>
      <w:r>
        <w:rPr>
          <w:sz w:val="24"/>
          <w:szCs w:val="24"/>
        </w:rPr>
        <w:t>’</w:t>
      </w:r>
      <w:r>
        <w:rPr>
          <w:rFonts w:hint="eastAsia"/>
          <w:sz w:val="24"/>
          <w:szCs w:val="24"/>
        </w:rPr>
        <w:t xml:space="preserve"> acquisition records, in which the target firms have similar business with CJES. </w:t>
      </w:r>
      <w:r w:rsidR="001F4FD0">
        <w:rPr>
          <w:rFonts w:hint="eastAsia"/>
          <w:sz w:val="24"/>
          <w:szCs w:val="24"/>
        </w:rPr>
        <w:t xml:space="preserve">As shown in Table 4, the most recent multiple data are extracted from Bloomberg. </w:t>
      </w:r>
      <w:r w:rsidR="001F4FD0">
        <w:rPr>
          <w:sz w:val="24"/>
          <w:szCs w:val="24"/>
        </w:rPr>
        <w:t>T</w:t>
      </w:r>
      <w:r w:rsidR="001F4FD0">
        <w:rPr>
          <w:rFonts w:hint="eastAsia"/>
          <w:sz w:val="24"/>
          <w:szCs w:val="24"/>
        </w:rPr>
        <w:t>o avoid extreme values, medians are used to calculate the TEVs. A</w:t>
      </w:r>
      <w:r w:rsidR="001F4FD0">
        <w:rPr>
          <w:sz w:val="24"/>
          <w:szCs w:val="24"/>
        </w:rPr>
        <w:t xml:space="preserve">mong six </w:t>
      </w:r>
      <w:r w:rsidR="001F4FD0">
        <w:rPr>
          <w:rFonts w:hint="eastAsia"/>
          <w:sz w:val="24"/>
          <w:szCs w:val="24"/>
        </w:rPr>
        <w:t>TEVs</w:t>
      </w:r>
      <w:r w:rsidR="001F4FD0">
        <w:rPr>
          <w:sz w:val="24"/>
          <w:szCs w:val="24"/>
        </w:rPr>
        <w:t>,</w:t>
      </w:r>
      <w:r w:rsidR="001F4FD0">
        <w:rPr>
          <w:rFonts w:hint="eastAsia"/>
          <w:sz w:val="24"/>
          <w:szCs w:val="24"/>
        </w:rPr>
        <w:t xml:space="preserve"> the maximum and minimum values are deleted, and then the final selected TEV is the average of the left four values; that </w:t>
      </w:r>
      <w:r w:rsidR="001F4FD0" w:rsidRPr="00D86C8E">
        <w:rPr>
          <w:rFonts w:hint="eastAsia"/>
          <w:sz w:val="24"/>
          <w:szCs w:val="24"/>
        </w:rPr>
        <w:t>is $1887.78 million.</w:t>
      </w:r>
    </w:p>
    <w:p w:rsidR="001F4FD0" w:rsidRDefault="001F4FD0" w:rsidP="00D86C8E">
      <w:pPr>
        <w:jc w:val="both"/>
        <w:rPr>
          <w:sz w:val="24"/>
          <w:szCs w:val="24"/>
        </w:rPr>
      </w:pPr>
      <w:r>
        <w:rPr>
          <w:rFonts w:cs="Times New Roman" w:hint="eastAsia"/>
          <w:sz w:val="24"/>
          <w:szCs w:val="24"/>
          <w:u w:val="single"/>
        </w:rPr>
        <w:lastRenderedPageBreak/>
        <w:t>Table 4</w:t>
      </w:r>
      <w:r w:rsidRPr="001F4FD0">
        <w:rPr>
          <w:rFonts w:cs="Times New Roman" w:hint="eastAsia"/>
          <w:sz w:val="24"/>
          <w:szCs w:val="24"/>
          <w:u w:val="single"/>
        </w:rPr>
        <w:t>:</w:t>
      </w:r>
      <w:r>
        <w:rPr>
          <w:rFonts w:cs="Times New Roman" w:hint="eastAsia"/>
          <w:sz w:val="24"/>
          <w:szCs w:val="24"/>
          <w:u w:val="single"/>
        </w:rPr>
        <w:t xml:space="preserve"> Control Transactions</w:t>
      </w:r>
    </w:p>
    <w:p w:rsidR="00BB2C8E" w:rsidRDefault="00474248" w:rsidP="00BB2C8E">
      <w:pPr>
        <w:jc w:val="both"/>
        <w:rPr>
          <w:sz w:val="24"/>
          <w:szCs w:val="24"/>
        </w:rPr>
      </w:pPr>
      <w:r w:rsidRPr="00474248">
        <w:drawing>
          <wp:inline distT="0" distB="0" distL="0" distR="0" wp14:anchorId="2B43DF70" wp14:editId="65DF9112">
            <wp:extent cx="5943600" cy="3543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rsidR="00BB2C8E" w:rsidRDefault="00BB2C8E" w:rsidP="00D86C8E">
      <w:pPr>
        <w:spacing w:after="0"/>
        <w:jc w:val="both"/>
        <w:rPr>
          <w:sz w:val="24"/>
          <w:szCs w:val="24"/>
        </w:rPr>
      </w:pPr>
    </w:p>
    <w:p w:rsidR="00BB2C8E" w:rsidRPr="00D86C8E" w:rsidRDefault="00BB2C8E" w:rsidP="00D86C8E">
      <w:pPr>
        <w:spacing w:after="0"/>
        <w:rPr>
          <w:rFonts w:cs="Times New Roman"/>
          <w:b/>
          <w:color w:val="C00000"/>
          <w:sz w:val="32"/>
          <w:szCs w:val="32"/>
        </w:rPr>
      </w:pPr>
      <w:r w:rsidRPr="00C13812">
        <w:rPr>
          <w:rFonts w:cs="Times New Roman"/>
          <w:b/>
          <w:noProof/>
          <w:color w:val="C00000"/>
          <w:sz w:val="32"/>
          <w:szCs w:val="32"/>
        </w:rPr>
        <mc:AlternateContent>
          <mc:Choice Requires="wps">
            <w:drawing>
              <wp:anchor distT="4294967295" distB="4294967295" distL="114300" distR="114300" simplePos="0" relativeHeight="251663360" behindDoc="0" locked="0" layoutInCell="1" allowOverlap="1" wp14:anchorId="21449D8D" wp14:editId="605CE0C5">
                <wp:simplePos x="0" y="0"/>
                <wp:positionH relativeFrom="column">
                  <wp:posOffset>-123825</wp:posOffset>
                </wp:positionH>
                <wp:positionV relativeFrom="paragraph">
                  <wp:posOffset>295274</wp:posOffset>
                </wp:positionV>
                <wp:extent cx="62865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3.25pt" to="485.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" strokecolor="#4f81bd [3204]" strokeweight="2pt">
                <o:lock v:ext="edit" shapetype="f"/>
              </v:line>
            </w:pict>
          </mc:Fallback>
        </mc:AlternateContent>
      </w:r>
      <w:r>
        <w:rPr>
          <w:rFonts w:cs="Times New Roman" w:hint="eastAsia"/>
          <w:b/>
          <w:color w:val="C00000"/>
          <w:sz w:val="32"/>
          <w:szCs w:val="32"/>
        </w:rPr>
        <w:t xml:space="preserve">Valuation </w:t>
      </w:r>
      <w:r w:rsidRPr="00C13812">
        <w:rPr>
          <w:rFonts w:cs="Times New Roman"/>
          <w:b/>
          <w:color w:val="C00000"/>
          <w:sz w:val="32"/>
          <w:szCs w:val="32"/>
        </w:rPr>
        <w:t>Conclusion</w:t>
      </w:r>
    </w:p>
    <w:p w:rsidR="001F4FD0" w:rsidRDefault="001F4FD0" w:rsidP="001F4FD0">
      <w:pPr>
        <w:spacing w:after="0"/>
        <w:rPr>
          <w:sz w:val="24"/>
          <w:szCs w:val="24"/>
        </w:rPr>
      </w:pPr>
    </w:p>
    <w:p w:rsidR="001F4FD0" w:rsidRDefault="001F4FD0" w:rsidP="001F4FD0">
      <w:pPr>
        <w:spacing w:after="0"/>
        <w:rPr>
          <w:sz w:val="24"/>
          <w:szCs w:val="24"/>
        </w:rPr>
      </w:pPr>
      <w:r>
        <w:rPr>
          <w:rFonts w:cs="Times New Roman" w:hint="eastAsia"/>
          <w:sz w:val="24"/>
          <w:szCs w:val="24"/>
          <w:u w:val="single"/>
        </w:rPr>
        <w:t>Table 5</w:t>
      </w:r>
      <w:r w:rsidRPr="001F4FD0">
        <w:rPr>
          <w:rFonts w:cs="Times New Roman" w:hint="eastAsia"/>
          <w:sz w:val="24"/>
          <w:szCs w:val="24"/>
          <w:u w:val="single"/>
        </w:rPr>
        <w:t>:</w:t>
      </w:r>
      <w:r>
        <w:rPr>
          <w:rFonts w:cs="Times New Roman" w:hint="eastAsia"/>
          <w:sz w:val="24"/>
          <w:szCs w:val="24"/>
          <w:u w:val="single"/>
        </w:rPr>
        <w:t xml:space="preserve"> Valuation Summary</w:t>
      </w:r>
    </w:p>
    <w:p w:rsidR="00BB2C8E" w:rsidRDefault="00474248" w:rsidP="00474248">
      <w:pPr>
        <w:rPr>
          <w:sz w:val="24"/>
          <w:szCs w:val="24"/>
        </w:rPr>
      </w:pPr>
      <w:r w:rsidRPr="00474248">
        <w:drawing>
          <wp:inline distT="0" distB="0" distL="0" distR="0" wp14:anchorId="28C738BE" wp14:editId="7DD8AA56">
            <wp:extent cx="5943600" cy="1139739"/>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39739"/>
                    </a:xfrm>
                    <a:prstGeom prst="rect">
                      <a:avLst/>
                    </a:prstGeom>
                    <a:noFill/>
                    <a:ln>
                      <a:noFill/>
                    </a:ln>
                  </pic:spPr>
                </pic:pic>
              </a:graphicData>
            </a:graphic>
          </wp:inline>
        </w:drawing>
      </w:r>
    </w:p>
    <w:p w:rsidR="00BB2C8E" w:rsidRPr="00D86C8E" w:rsidRDefault="00BB2C8E" w:rsidP="00D86C8E">
      <w:pPr>
        <w:jc w:val="both"/>
        <w:rPr>
          <w:sz w:val="24"/>
          <w:szCs w:val="24"/>
        </w:rPr>
      </w:pPr>
      <w:r>
        <w:rPr>
          <w:rFonts w:hint="eastAsia"/>
          <w:sz w:val="24"/>
          <w:szCs w:val="24"/>
        </w:rPr>
        <w:t>Combining the valuation results from the three methodologies,</w:t>
      </w:r>
      <w:r w:rsidRPr="00143262">
        <w:rPr>
          <w:rFonts w:hint="eastAsia"/>
          <w:sz w:val="24"/>
          <w:szCs w:val="24"/>
        </w:rPr>
        <w:t xml:space="preserve"> </w:t>
      </w:r>
      <w:r>
        <w:rPr>
          <w:rFonts w:hint="eastAsia"/>
          <w:sz w:val="24"/>
          <w:szCs w:val="24"/>
        </w:rPr>
        <w:t xml:space="preserve">as shown in the above table, the consequential equally-weighted estimated equity value on 12/31/2012 is </w:t>
      </w:r>
      <w:r w:rsidR="00474248">
        <w:rPr>
          <w:rFonts w:hint="eastAsia"/>
          <w:sz w:val="24"/>
          <w:szCs w:val="24"/>
        </w:rPr>
        <w:t>$</w:t>
      </w:r>
      <w:bookmarkStart w:id="0" w:name="_GoBack"/>
      <w:bookmarkEnd w:id="0"/>
      <w:r w:rsidR="00474248">
        <w:rPr>
          <w:rFonts w:hint="eastAsia"/>
          <w:sz w:val="24"/>
          <w:szCs w:val="24"/>
        </w:rPr>
        <w:t>1,581.10</w:t>
      </w:r>
      <w:r w:rsidRPr="00D86C8E">
        <w:rPr>
          <w:rFonts w:hint="eastAsia"/>
          <w:sz w:val="24"/>
          <w:szCs w:val="24"/>
        </w:rPr>
        <w:t xml:space="preserve"> million</w:t>
      </w:r>
      <w:r>
        <w:rPr>
          <w:rFonts w:hint="eastAsia"/>
          <w:sz w:val="24"/>
          <w:szCs w:val="24"/>
        </w:rPr>
        <w:t xml:space="preserve">. </w:t>
      </w:r>
      <w:r>
        <w:br w:type="page"/>
      </w:r>
    </w:p>
    <w:p w:rsidR="00BB2C8E" w:rsidRPr="00BB2C8E" w:rsidRDefault="00BB2C8E" w:rsidP="00BB2C8E">
      <w:pPr>
        <w:rPr>
          <w:b/>
          <w:u w:val="single"/>
        </w:rPr>
      </w:pPr>
      <w:r w:rsidRPr="00BB2C8E">
        <w:rPr>
          <w:rFonts w:hint="eastAsia"/>
          <w:b/>
          <w:u w:val="single"/>
        </w:rPr>
        <w:lastRenderedPageBreak/>
        <w:t>Exhibit 1: DCF Model</w:t>
      </w:r>
    </w:p>
    <w:p w:rsidR="00BB2C8E" w:rsidRDefault="00570900" w:rsidP="00BB2C8E">
      <w:r w:rsidRPr="00570900">
        <w:drawing>
          <wp:inline distT="0" distB="0" distL="0" distR="0" wp14:anchorId="4FB1B963" wp14:editId="7021EC12">
            <wp:extent cx="7894247" cy="5916017"/>
            <wp:effectExtent l="0" t="1587"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900072" cy="5920382"/>
                    </a:xfrm>
                    <a:prstGeom prst="rect">
                      <a:avLst/>
                    </a:prstGeom>
                    <a:noFill/>
                    <a:ln>
                      <a:noFill/>
                    </a:ln>
                  </pic:spPr>
                </pic:pic>
              </a:graphicData>
            </a:graphic>
          </wp:inline>
        </w:drawing>
      </w:r>
    </w:p>
    <w:p w:rsidR="00BB2C8E" w:rsidRPr="00BB2C8E" w:rsidRDefault="00BB2C8E" w:rsidP="00BB2C8E">
      <w:pPr>
        <w:rPr>
          <w:b/>
          <w:u w:val="single"/>
        </w:rPr>
      </w:pPr>
      <w:r>
        <w:rPr>
          <w:rFonts w:hint="eastAsia"/>
          <w:b/>
          <w:u w:val="single"/>
        </w:rPr>
        <w:lastRenderedPageBreak/>
        <w:t xml:space="preserve">Exhibit 2: </w:t>
      </w:r>
      <w:r w:rsidRPr="00BB2C8E">
        <w:rPr>
          <w:rFonts w:hint="eastAsia"/>
          <w:b/>
          <w:u w:val="single"/>
        </w:rPr>
        <w:t>WACC</w:t>
      </w:r>
      <w:r w:rsidR="00263772">
        <w:rPr>
          <w:rFonts w:hint="eastAsia"/>
          <w:b/>
          <w:u w:val="single"/>
        </w:rPr>
        <w:t xml:space="preserve"> - 5 Year Beta (Capital IQ)</w:t>
      </w:r>
    </w:p>
    <w:p w:rsidR="00BB2C8E" w:rsidRDefault="00263772" w:rsidP="00BB2C8E">
      <w:r w:rsidRPr="00263772">
        <w:drawing>
          <wp:inline distT="0" distB="0" distL="0" distR="0">
            <wp:extent cx="4704496" cy="39814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4496" cy="3981450"/>
                    </a:xfrm>
                    <a:prstGeom prst="rect">
                      <a:avLst/>
                    </a:prstGeom>
                    <a:noFill/>
                    <a:ln>
                      <a:noFill/>
                    </a:ln>
                  </pic:spPr>
                </pic:pic>
              </a:graphicData>
            </a:graphic>
          </wp:inline>
        </w:drawing>
      </w:r>
    </w:p>
    <w:p w:rsidR="00BB2C8E" w:rsidRDefault="00BB2C8E" w:rsidP="00BB2C8E"/>
    <w:p w:rsidR="00BB2C8E" w:rsidRDefault="00BB2C8E" w:rsidP="00BB2C8E">
      <w:r>
        <w:br w:type="page"/>
      </w:r>
    </w:p>
    <w:p w:rsidR="00263772" w:rsidRDefault="00263772">
      <w:pPr>
        <w:rPr>
          <w:rFonts w:hint="eastAsia"/>
          <w:b/>
          <w:u w:val="single"/>
        </w:rPr>
      </w:pPr>
      <w:r>
        <w:rPr>
          <w:rFonts w:hint="eastAsia"/>
          <w:b/>
          <w:u w:val="single"/>
        </w:rPr>
        <w:lastRenderedPageBreak/>
        <w:t>Exhibit 3</w:t>
      </w:r>
      <w:r>
        <w:rPr>
          <w:rFonts w:hint="eastAsia"/>
          <w:b/>
          <w:u w:val="single"/>
        </w:rPr>
        <w:t xml:space="preserve">: </w:t>
      </w:r>
      <w:r w:rsidRPr="00BB2C8E">
        <w:rPr>
          <w:rFonts w:hint="eastAsia"/>
          <w:b/>
          <w:u w:val="single"/>
        </w:rPr>
        <w:t>WACC</w:t>
      </w:r>
      <w:r>
        <w:rPr>
          <w:rFonts w:hint="eastAsia"/>
          <w:b/>
          <w:u w:val="single"/>
        </w:rPr>
        <w:t xml:space="preserve"> </w:t>
      </w:r>
      <w:r>
        <w:rPr>
          <w:rFonts w:hint="eastAsia"/>
          <w:b/>
          <w:u w:val="single"/>
        </w:rPr>
        <w:t>- Comparable Beta</w:t>
      </w:r>
    </w:p>
    <w:p w:rsidR="00263772" w:rsidRDefault="00263772">
      <w:pPr>
        <w:rPr>
          <w:b/>
          <w:u w:val="single"/>
        </w:rPr>
      </w:pPr>
      <w:r w:rsidRPr="00263772">
        <w:drawing>
          <wp:inline distT="0" distB="0" distL="0" distR="0" wp14:anchorId="524981F9" wp14:editId="690C13F5">
            <wp:extent cx="5941519" cy="61245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126720"/>
                    </a:xfrm>
                    <a:prstGeom prst="rect">
                      <a:avLst/>
                    </a:prstGeom>
                    <a:noFill/>
                    <a:ln>
                      <a:noFill/>
                    </a:ln>
                  </pic:spPr>
                </pic:pic>
              </a:graphicData>
            </a:graphic>
          </wp:inline>
        </w:drawing>
      </w:r>
      <w:r>
        <w:rPr>
          <w:b/>
          <w:u w:val="single"/>
        </w:rPr>
        <w:br w:type="page"/>
      </w:r>
    </w:p>
    <w:p w:rsidR="00BB2C8E" w:rsidRPr="00BB2C8E" w:rsidRDefault="00263772" w:rsidP="00BB2C8E">
      <w:pPr>
        <w:rPr>
          <w:b/>
          <w:u w:val="single"/>
        </w:rPr>
      </w:pPr>
      <w:r>
        <w:rPr>
          <w:rFonts w:hint="eastAsia"/>
          <w:b/>
          <w:u w:val="single"/>
        </w:rPr>
        <w:lastRenderedPageBreak/>
        <w:t>Exhibit 4</w:t>
      </w:r>
      <w:r w:rsidR="00BB2C8E">
        <w:rPr>
          <w:rFonts w:hint="eastAsia"/>
          <w:b/>
          <w:u w:val="single"/>
        </w:rPr>
        <w:t>:</w:t>
      </w:r>
      <w:r w:rsidR="00BB2C8E" w:rsidRPr="00BB2C8E">
        <w:rPr>
          <w:rFonts w:hint="eastAsia"/>
          <w:b/>
          <w:u w:val="single"/>
        </w:rPr>
        <w:t xml:space="preserve"> MACRS, Estimated Depreciation and Amortization</w:t>
      </w:r>
    </w:p>
    <w:p w:rsidR="00BB2C8E" w:rsidRDefault="00570900" w:rsidP="00BB2C8E">
      <w:r w:rsidRPr="00570900">
        <w:drawing>
          <wp:inline distT="0" distB="0" distL="0" distR="0" wp14:anchorId="70BEFA73" wp14:editId="699AF95F">
            <wp:extent cx="5943600" cy="342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a:ln>
                      <a:noFill/>
                    </a:ln>
                  </pic:spPr>
                </pic:pic>
              </a:graphicData>
            </a:graphic>
          </wp:inline>
        </w:drawing>
      </w:r>
    </w:p>
    <w:sectPr w:rsidR="00BB2C8E" w:rsidSect="00D77F8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C3D"/>
    <w:multiLevelType w:val="hybridMultilevel"/>
    <w:tmpl w:val="29D0868E"/>
    <w:lvl w:ilvl="0" w:tplc="04090001">
      <w:start w:val="1"/>
      <w:numFmt w:val="bullet"/>
      <w:lvlText w:val=""/>
      <w:lvlJc w:val="left"/>
      <w:pPr>
        <w:ind w:left="420" w:hanging="420"/>
      </w:pPr>
      <w:rPr>
        <w:rFonts w:ascii="Symbol" w:hAnsi="Symbol" w:hint="default"/>
        <w:color w:val="auto"/>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2DA30E1"/>
    <w:multiLevelType w:val="hybridMultilevel"/>
    <w:tmpl w:val="EE4A5076"/>
    <w:lvl w:ilvl="0" w:tplc="9FB6A74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A2457"/>
    <w:multiLevelType w:val="hybridMultilevel"/>
    <w:tmpl w:val="B14E86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45264"/>
    <w:multiLevelType w:val="hybridMultilevel"/>
    <w:tmpl w:val="33B6588C"/>
    <w:lvl w:ilvl="0" w:tplc="9FB6A74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86A46"/>
    <w:multiLevelType w:val="hybridMultilevel"/>
    <w:tmpl w:val="B7F6D5A6"/>
    <w:lvl w:ilvl="0" w:tplc="9FB6A74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04926"/>
    <w:multiLevelType w:val="hybridMultilevel"/>
    <w:tmpl w:val="E5765C9E"/>
    <w:lvl w:ilvl="0" w:tplc="9FB6A74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C4BCF"/>
    <w:multiLevelType w:val="hybridMultilevel"/>
    <w:tmpl w:val="D0C46556"/>
    <w:lvl w:ilvl="0" w:tplc="9FB6A748">
      <w:numFmt w:val="bullet"/>
      <w:lvlText w:val="•"/>
      <w:lvlJc w:val="left"/>
      <w:pPr>
        <w:ind w:left="360" w:hanging="360"/>
      </w:pPr>
      <w:rPr>
        <w:rFonts w:ascii="Times New Roman" w:eastAsia="MS Mincho"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FE1FCD"/>
    <w:multiLevelType w:val="hybridMultilevel"/>
    <w:tmpl w:val="563215DE"/>
    <w:lvl w:ilvl="0" w:tplc="9FB6A74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427A2"/>
    <w:multiLevelType w:val="hybridMultilevel"/>
    <w:tmpl w:val="73D4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EC"/>
    <w:rsid w:val="00012102"/>
    <w:rsid w:val="001D1275"/>
    <w:rsid w:val="001E55EC"/>
    <w:rsid w:val="001F4FD0"/>
    <w:rsid w:val="00263772"/>
    <w:rsid w:val="00283330"/>
    <w:rsid w:val="00323A38"/>
    <w:rsid w:val="00340945"/>
    <w:rsid w:val="003F38FA"/>
    <w:rsid w:val="00432F58"/>
    <w:rsid w:val="00474248"/>
    <w:rsid w:val="00570900"/>
    <w:rsid w:val="0064305C"/>
    <w:rsid w:val="00666BD8"/>
    <w:rsid w:val="00754A34"/>
    <w:rsid w:val="007F0ACF"/>
    <w:rsid w:val="009F5D46"/>
    <w:rsid w:val="00AD66B1"/>
    <w:rsid w:val="00B12BEC"/>
    <w:rsid w:val="00BA199B"/>
    <w:rsid w:val="00BB2C8E"/>
    <w:rsid w:val="00CE07BC"/>
    <w:rsid w:val="00D86C8E"/>
    <w:rsid w:val="00E27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EC"/>
    <w:pPr>
      <w:ind w:left="720"/>
      <w:contextualSpacing/>
    </w:pPr>
  </w:style>
  <w:style w:type="character" w:styleId="Hyperlink">
    <w:name w:val="Hyperlink"/>
    <w:basedOn w:val="DefaultParagraphFont"/>
    <w:uiPriority w:val="99"/>
    <w:unhideWhenUsed/>
    <w:rsid w:val="001E55EC"/>
    <w:rPr>
      <w:color w:val="0000FF" w:themeColor="hyperlink"/>
      <w:u w:val="single"/>
    </w:rPr>
  </w:style>
  <w:style w:type="paragraph" w:styleId="BalloonText">
    <w:name w:val="Balloon Text"/>
    <w:basedOn w:val="Normal"/>
    <w:link w:val="BalloonTextChar"/>
    <w:uiPriority w:val="99"/>
    <w:semiHidden/>
    <w:unhideWhenUsed/>
    <w:rsid w:val="001E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EC"/>
    <w:pPr>
      <w:ind w:left="720"/>
      <w:contextualSpacing/>
    </w:pPr>
  </w:style>
  <w:style w:type="character" w:styleId="Hyperlink">
    <w:name w:val="Hyperlink"/>
    <w:basedOn w:val="DefaultParagraphFont"/>
    <w:uiPriority w:val="99"/>
    <w:unhideWhenUsed/>
    <w:rsid w:val="001E55EC"/>
    <w:rPr>
      <w:color w:val="0000FF" w:themeColor="hyperlink"/>
      <w:u w:val="single"/>
    </w:rPr>
  </w:style>
  <w:style w:type="paragraph" w:styleId="BalloonText">
    <w:name w:val="Balloon Text"/>
    <w:basedOn w:val="Normal"/>
    <w:link w:val="BalloonTextChar"/>
    <w:uiPriority w:val="99"/>
    <w:semiHidden/>
    <w:unhideWhenUsed/>
    <w:rsid w:val="001E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Qinqi Wang</dc:creator>
  <cp:lastModifiedBy>Qinqi Wang</cp:lastModifiedBy>
  <cp:revision>4</cp:revision>
  <cp:lastPrinted>2013-04-13T01:42:00Z</cp:lastPrinted>
  <dcterms:created xsi:type="dcterms:W3CDTF">2013-11-12T17:31:00Z</dcterms:created>
  <dcterms:modified xsi:type="dcterms:W3CDTF">2013-11-13T04:02:00Z</dcterms:modified>
</cp:coreProperties>
</file>