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36" w:rsidRDefault="00C359A8">
      <w:r>
        <w:rPr>
          <w:noProof/>
        </w:rPr>
        <w:drawing>
          <wp:inline distT="0" distB="0" distL="0" distR="0">
            <wp:extent cx="5943600" cy="3547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F37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A8" w:rsidRDefault="00C359A8">
      <w:r>
        <w:rPr>
          <w:noProof/>
        </w:rPr>
        <w:drawing>
          <wp:inline distT="0" distB="0" distL="0" distR="0">
            <wp:extent cx="5943600" cy="641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68E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A8" w:rsidRDefault="00C359A8">
      <w:r w:rsidRPr="00C359A8">
        <w:rPr>
          <w:noProof/>
        </w:rPr>
        <w:drawing>
          <wp:inline distT="0" distB="0" distL="0" distR="0" wp14:anchorId="3186B1D2" wp14:editId="17608488">
            <wp:extent cx="5943600" cy="3228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A8" w:rsidRDefault="00C359A8"/>
    <w:p w:rsidR="00C171D6" w:rsidRDefault="00C93AEC" w:rsidP="00C17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Next,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generate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Pro</w:t>
      </w:r>
      <w:r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="00C171D6" w:rsidRPr="00C171D6">
        <w:rPr>
          <w:rFonts w:ascii="Times New Roman" w:hAnsi="Times New Roman" w:cs="Times New Roman"/>
          <w:sz w:val="24"/>
          <w:szCs w:val="24"/>
        </w:rPr>
        <w:t>orma balance sheet for Company B. 2008 historical balance sheet has been populated. In the pre-transaction column, it is assumed that the seller (</w:t>
      </w:r>
      <w:r w:rsidR="00C171D6" w:rsidRPr="00C171D6">
        <w:rPr>
          <w:rFonts w:ascii="Times New Roman" w:hAnsi="Times New Roman" w:cs="Times New Roman"/>
          <w:sz w:val="24"/>
          <w:szCs w:val="24"/>
        </w:rPr>
        <w:fldChar w:fldCharType="begin"/>
      </w:r>
      <w:r w:rsidR="00C171D6" w:rsidRPr="00C171D6">
        <w:rPr>
          <w:rFonts w:ascii="Times New Roman" w:hAnsi="Times New Roman" w:cs="Times New Roman"/>
          <w:sz w:val="24"/>
          <w:szCs w:val="24"/>
        </w:rPr>
        <w:instrText xml:space="preserve"> = 1 \* roman </w:instrText>
      </w:r>
      <w:r w:rsidR="00C171D6" w:rsidRPr="00C171D6">
        <w:rPr>
          <w:rFonts w:ascii="Times New Roman" w:hAnsi="Times New Roman" w:cs="Times New Roman"/>
          <w:sz w:val="24"/>
          <w:szCs w:val="24"/>
        </w:rPr>
        <w:fldChar w:fldCharType="separate"/>
      </w:r>
      <w:r w:rsidR="00C171D6" w:rsidRPr="00C171D6">
        <w:rPr>
          <w:rFonts w:ascii="Times New Roman" w:hAnsi="Times New Roman" w:cs="Times New Roman"/>
          <w:noProof/>
          <w:sz w:val="24"/>
          <w:szCs w:val="24"/>
        </w:rPr>
        <w:t>i</w:t>
      </w:r>
      <w:r w:rsidR="00C171D6" w:rsidRPr="00C171D6">
        <w:rPr>
          <w:rFonts w:ascii="Times New Roman" w:hAnsi="Times New Roman" w:cs="Times New Roman"/>
          <w:sz w:val="24"/>
          <w:szCs w:val="24"/>
        </w:rPr>
        <w:fldChar w:fldCharType="end"/>
      </w:r>
      <w:r w:rsidR="00C171D6" w:rsidRPr="00C171D6">
        <w:rPr>
          <w:rFonts w:ascii="Times New Roman" w:hAnsi="Times New Roman" w:cs="Times New Roman"/>
          <w:sz w:val="24"/>
          <w:szCs w:val="24"/>
        </w:rPr>
        <w:t>) takes all cash out of the company before the sale; and (</w:t>
      </w:r>
      <w:r w:rsidR="00C171D6" w:rsidRPr="00C171D6">
        <w:rPr>
          <w:rFonts w:ascii="Times New Roman" w:hAnsi="Times New Roman" w:cs="Times New Roman"/>
          <w:sz w:val="24"/>
          <w:szCs w:val="24"/>
        </w:rPr>
        <w:fldChar w:fldCharType="begin"/>
      </w:r>
      <w:r w:rsidR="00C171D6" w:rsidRPr="00C171D6">
        <w:rPr>
          <w:rFonts w:ascii="Times New Roman" w:hAnsi="Times New Roman" w:cs="Times New Roman"/>
          <w:sz w:val="24"/>
          <w:szCs w:val="24"/>
        </w:rPr>
        <w:instrText xml:space="preserve"> = 2 \* roman </w:instrText>
      </w:r>
      <w:r w:rsidR="00C171D6" w:rsidRPr="00C171D6">
        <w:rPr>
          <w:rFonts w:ascii="Times New Roman" w:hAnsi="Times New Roman" w:cs="Times New Roman"/>
          <w:sz w:val="24"/>
          <w:szCs w:val="24"/>
        </w:rPr>
        <w:fldChar w:fldCharType="separate"/>
      </w:r>
      <w:r w:rsidR="00C171D6" w:rsidRPr="00C171D6">
        <w:rPr>
          <w:rFonts w:ascii="Times New Roman" w:hAnsi="Times New Roman" w:cs="Times New Roman"/>
          <w:noProof/>
          <w:sz w:val="24"/>
          <w:szCs w:val="24"/>
        </w:rPr>
        <w:t>ii</w:t>
      </w:r>
      <w:r w:rsidR="00C171D6" w:rsidRPr="00C171D6">
        <w:rPr>
          <w:rFonts w:ascii="Times New Roman" w:hAnsi="Times New Roman" w:cs="Times New Roman"/>
          <w:sz w:val="24"/>
          <w:szCs w:val="24"/>
        </w:rPr>
        <w:fldChar w:fldCharType="end"/>
      </w:r>
      <w:r w:rsidR="00C171D6" w:rsidRPr="00C171D6">
        <w:rPr>
          <w:rFonts w:ascii="Times New Roman" w:hAnsi="Times New Roman" w:cs="Times New Roman"/>
          <w:sz w:val="24"/>
          <w:szCs w:val="24"/>
        </w:rPr>
        <w:t>) pays off all Company B debt prior to the transaction.</w:t>
      </w:r>
    </w:p>
    <w:p w:rsidR="00C171D6" w:rsidRPr="00C171D6" w:rsidRDefault="00C171D6" w:rsidP="00C1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1D6" w:rsidRDefault="00BB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943600" cy="16319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8C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C0" w:rsidRDefault="00BB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943600" cy="942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FB1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D6" w:rsidRDefault="00C171D6">
      <w:pPr>
        <w:rPr>
          <w:rFonts w:ascii="Times New Roman" w:hAnsi="Times New Roman" w:cs="Times New Roman"/>
          <w:sz w:val="24"/>
          <w:szCs w:val="24"/>
        </w:rPr>
      </w:pPr>
    </w:p>
    <w:p w:rsidR="00C171D6" w:rsidRDefault="00C171D6">
      <w:pPr>
        <w:rPr>
          <w:rFonts w:ascii="Times New Roman" w:hAnsi="Times New Roman" w:cs="Times New Roman"/>
          <w:sz w:val="24"/>
          <w:szCs w:val="24"/>
        </w:rPr>
      </w:pPr>
      <w:r w:rsidRPr="00C171D6">
        <w:rPr>
          <w:rFonts w:hint="eastAsia"/>
          <w:noProof/>
        </w:rPr>
        <w:drawing>
          <wp:inline distT="0" distB="0" distL="0" distR="0">
            <wp:extent cx="3295650" cy="243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D6" w:rsidRDefault="00C171D6">
      <w:pPr>
        <w:rPr>
          <w:rFonts w:ascii="Times New Roman" w:hAnsi="Times New Roman" w:cs="Times New Roman"/>
          <w:sz w:val="24"/>
          <w:szCs w:val="24"/>
        </w:rPr>
      </w:pPr>
      <w:r w:rsidRPr="00C171D6">
        <w:rPr>
          <w:noProof/>
        </w:rPr>
        <w:drawing>
          <wp:inline distT="0" distB="0" distL="0" distR="0" wp14:anchorId="6AA24F9C" wp14:editId="6FD5100D">
            <wp:extent cx="5943600" cy="709881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EC" w:rsidRDefault="00C93AEC">
      <w:pPr>
        <w:rPr>
          <w:rFonts w:ascii="Times New Roman" w:hAnsi="Times New Roman" w:cs="Times New Roman"/>
          <w:sz w:val="24"/>
          <w:szCs w:val="24"/>
        </w:rPr>
      </w:pPr>
    </w:p>
    <w:p w:rsidR="00C93AEC" w:rsidRDefault="00C93AEC">
      <w:pPr>
        <w:rPr>
          <w:rFonts w:ascii="Times New Roman" w:hAnsi="Times New Roman" w:cs="Times New Roman"/>
          <w:sz w:val="24"/>
          <w:szCs w:val="24"/>
        </w:rPr>
      </w:pPr>
    </w:p>
    <w:p w:rsidR="00C93AEC" w:rsidRDefault="00C93AEC">
      <w:pPr>
        <w:rPr>
          <w:rFonts w:ascii="Times New Roman" w:hAnsi="Times New Roman" w:cs="Times New Roman"/>
          <w:sz w:val="24"/>
          <w:szCs w:val="24"/>
        </w:rPr>
      </w:pPr>
    </w:p>
    <w:p w:rsidR="00C93AEC" w:rsidRDefault="00095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Reasonable</w:t>
      </w:r>
      <w:r w:rsidR="00C93AEC">
        <w:rPr>
          <w:rFonts w:ascii="Times New Roman" w:hAnsi="Times New Roman" w:cs="Times New Roman" w:hint="eastAsia"/>
          <w:sz w:val="24"/>
          <w:szCs w:val="24"/>
        </w:rPr>
        <w:t xml:space="preserve"> assumptions create valuable projection models.</w:t>
      </w:r>
    </w:p>
    <w:p w:rsidR="00C93AEC" w:rsidRDefault="00C93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943600" cy="2503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C1D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EC" w:rsidRDefault="00C93AEC">
      <w:pPr>
        <w:rPr>
          <w:rFonts w:ascii="Times New Roman" w:hAnsi="Times New Roman" w:cs="Times New Roman"/>
          <w:sz w:val="24"/>
          <w:szCs w:val="24"/>
        </w:rPr>
      </w:pPr>
    </w:p>
    <w:p w:rsidR="00C93AEC" w:rsidRDefault="00C93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943600" cy="36823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63F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EC" w:rsidRDefault="00C93AEC">
      <w:pPr>
        <w:rPr>
          <w:rFonts w:ascii="Times New Roman" w:hAnsi="Times New Roman" w:cs="Times New Roman"/>
          <w:sz w:val="24"/>
          <w:szCs w:val="24"/>
        </w:rPr>
      </w:pPr>
      <w:r w:rsidRPr="00C93AEC">
        <w:rPr>
          <w:rFonts w:hint="eastAsia"/>
          <w:noProof/>
        </w:rPr>
        <w:drawing>
          <wp:inline distT="0" distB="0" distL="0" distR="0" wp14:anchorId="415315B4" wp14:editId="2B746CE3">
            <wp:extent cx="5942427" cy="534352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23" w:rsidRDefault="00811623">
      <w:pPr>
        <w:rPr>
          <w:rFonts w:ascii="Times New Roman" w:hAnsi="Times New Roman" w:cs="Times New Roman"/>
          <w:sz w:val="24"/>
          <w:szCs w:val="24"/>
        </w:rPr>
      </w:pPr>
    </w:p>
    <w:p w:rsidR="00811623" w:rsidRDefault="00811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623" w:rsidRDefault="00811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the model section, 2003-2008 financial statements have been populated. Inserting 2008 Pro Forma balance sheet and linking assumptions to the model,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projected 2009-2012 financial statements for Company B.</w:t>
      </w:r>
    </w:p>
    <w:p w:rsidR="00811623" w:rsidRDefault="00811623">
      <w:pPr>
        <w:rPr>
          <w:rFonts w:ascii="Times New Roman" w:hAnsi="Times New Roman" w:cs="Times New Roman"/>
          <w:sz w:val="24"/>
          <w:szCs w:val="24"/>
        </w:rPr>
      </w:pPr>
      <w:r w:rsidRPr="00811623">
        <w:rPr>
          <w:rFonts w:hint="eastAsia"/>
          <w:noProof/>
        </w:rPr>
        <w:drawing>
          <wp:inline distT="0" distB="0" distL="0" distR="0" wp14:anchorId="3C244DB9" wp14:editId="57C6806E">
            <wp:extent cx="5934075" cy="7096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623" w:rsidRDefault="00811623">
      <w:pPr>
        <w:rPr>
          <w:rFonts w:ascii="Times New Roman" w:hAnsi="Times New Roman" w:cs="Times New Roman"/>
          <w:sz w:val="24"/>
          <w:szCs w:val="24"/>
        </w:rPr>
      </w:pPr>
      <w:r w:rsidRPr="00811623">
        <w:rPr>
          <w:rFonts w:hint="eastAsia"/>
          <w:noProof/>
        </w:rPr>
        <w:drawing>
          <wp:inline distT="0" distB="0" distL="0" distR="0" wp14:anchorId="4A734105" wp14:editId="42923A2D">
            <wp:extent cx="5943600" cy="6677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23" w:rsidRDefault="00811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623" w:rsidRDefault="00811623">
      <w:pPr>
        <w:rPr>
          <w:rFonts w:ascii="Times New Roman" w:hAnsi="Times New Roman" w:cs="Times New Roman"/>
          <w:sz w:val="24"/>
          <w:szCs w:val="24"/>
        </w:rPr>
      </w:pPr>
      <w:r w:rsidRPr="00811623">
        <w:rPr>
          <w:rFonts w:hint="eastAsia"/>
          <w:noProof/>
        </w:rPr>
        <w:drawing>
          <wp:inline distT="0" distB="0" distL="0" distR="0" wp14:anchorId="3C97AC9B" wp14:editId="21C579D2">
            <wp:extent cx="5939362" cy="47625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23" w:rsidRDefault="00811623">
      <w:pPr>
        <w:rPr>
          <w:rFonts w:ascii="Times New Roman" w:hAnsi="Times New Roman" w:cs="Times New Roman"/>
          <w:sz w:val="24"/>
          <w:szCs w:val="24"/>
        </w:rPr>
      </w:pPr>
    </w:p>
    <w:p w:rsidR="00811623" w:rsidRDefault="00811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78F8" w:rsidRDefault="001878F8">
      <w:pPr>
        <w:rPr>
          <w:rFonts w:ascii="Times New Roman" w:hAnsi="Times New Roman" w:cs="Times New Roman"/>
          <w:sz w:val="24"/>
          <w:szCs w:val="24"/>
        </w:rPr>
      </w:pPr>
      <w:r w:rsidRPr="001878F8">
        <w:rPr>
          <w:rFonts w:hint="eastAsia"/>
          <w:noProof/>
        </w:rPr>
        <w:drawing>
          <wp:inline distT="0" distB="0" distL="0" distR="0" wp14:anchorId="644DEC81" wp14:editId="1C77059B">
            <wp:extent cx="5941629" cy="60674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8" w:rsidRDefault="00187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623" w:rsidRDefault="00BB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Future financial statistics are calculated in terms of the model.</w:t>
      </w:r>
    </w:p>
    <w:p w:rsidR="00BB6FC0" w:rsidRDefault="00BB6FC0">
      <w:pPr>
        <w:rPr>
          <w:rFonts w:ascii="Times New Roman" w:hAnsi="Times New Roman" w:cs="Times New Roman"/>
          <w:sz w:val="24"/>
          <w:szCs w:val="24"/>
        </w:rPr>
      </w:pPr>
      <w:r w:rsidRPr="00BB6FC0">
        <w:rPr>
          <w:rFonts w:hint="eastAsia"/>
          <w:noProof/>
        </w:rPr>
        <w:drawing>
          <wp:inline distT="0" distB="0" distL="0" distR="0">
            <wp:extent cx="5924550" cy="6515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85" w:rsidRDefault="003A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ccording to the projected data, Company B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leverage is going to slide down after the transaction.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wo primary reasons are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1 \* roman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) EBITDA will go up as revenue is assumed to increase by 4% each year and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2 \* roman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>) total debt would de</w:t>
      </w:r>
      <w:r w:rsidR="001878F8">
        <w:rPr>
          <w:rFonts w:ascii="Times New Roman" w:hAnsi="Times New Roman" w:cs="Times New Roman" w:hint="eastAsia"/>
          <w:sz w:val="24"/>
          <w:szCs w:val="24"/>
        </w:rPr>
        <w:t>crease by term loan amortization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3A1185" w:rsidRDefault="003A1185">
      <w:pPr>
        <w:rPr>
          <w:rFonts w:ascii="Times New Roman" w:hAnsi="Times New Roman" w:cs="Times New Roman"/>
          <w:sz w:val="24"/>
          <w:szCs w:val="24"/>
        </w:rPr>
      </w:pPr>
    </w:p>
    <w:p w:rsidR="003A1185" w:rsidRDefault="003A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Assuming the financial sponsor sells Company B in 2012, how much would </w:t>
      </w:r>
      <w:r w:rsidR="000B53AC">
        <w:rPr>
          <w:rFonts w:ascii="Times New Roman" w:hAnsi="Times New Roman" w:cs="Times New Roman" w:hint="eastAsia"/>
          <w:sz w:val="24"/>
          <w:szCs w:val="24"/>
        </w:rPr>
        <w:t>it earn from the investment? Would this transaction be a good deal for the financial sponsor?</w:t>
      </w:r>
    </w:p>
    <w:p w:rsidR="00AA5858" w:rsidRDefault="00AA5858" w:rsidP="00AA5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AC" w:rsidRDefault="000B5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943600" cy="1670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E57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D6" w:rsidRDefault="000B5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223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46BD2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58" w:rsidRDefault="00AA5858" w:rsidP="00AA5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AC" w:rsidRDefault="000B53AC">
      <w:pPr>
        <w:rPr>
          <w:rFonts w:ascii="Times New Roman" w:hAnsi="Times New Roman" w:cs="Times New Roman"/>
          <w:sz w:val="24"/>
          <w:szCs w:val="24"/>
        </w:rPr>
      </w:pPr>
      <w:r w:rsidRPr="000B53AC">
        <w:rPr>
          <w:noProof/>
        </w:rPr>
        <w:drawing>
          <wp:inline distT="0" distB="0" distL="0" distR="0" wp14:anchorId="1878E350" wp14:editId="70B5242A">
            <wp:extent cx="5924550" cy="22764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58" w:rsidRDefault="00AA5858" w:rsidP="00AA5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AC" w:rsidRDefault="000B5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According to the above table, the internal rate of return to the financial sponsor is 13.9% by assuming a 7.0x EBITDA multiple and a 20% equity investment as % of total capitalization, and 11.5% for the unsecured lender.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66129F">
        <w:rPr>
          <w:rFonts w:ascii="Times New Roman" w:hAnsi="Times New Roman" w:cs="Times New Roman" w:hint="eastAsia"/>
          <w:sz w:val="24"/>
          <w:szCs w:val="24"/>
        </w:rPr>
        <w:t>see how these two factors would contribute to the financial sponsor</w:t>
      </w:r>
      <w:r w:rsidR="0066129F">
        <w:rPr>
          <w:rFonts w:ascii="Times New Roman" w:hAnsi="Times New Roman" w:cs="Times New Roman"/>
          <w:sz w:val="24"/>
          <w:szCs w:val="24"/>
        </w:rPr>
        <w:t>’</w:t>
      </w:r>
      <w:r w:rsidR="0066129F">
        <w:rPr>
          <w:rFonts w:ascii="Times New Roman" w:hAnsi="Times New Roman" w:cs="Times New Roman" w:hint="eastAsia"/>
          <w:sz w:val="24"/>
          <w:szCs w:val="24"/>
        </w:rPr>
        <w:t xml:space="preserve">s IRR, </w:t>
      </w:r>
      <w:r w:rsidR="0066129F">
        <w:rPr>
          <w:rFonts w:ascii="Times New Roman" w:hAnsi="Times New Roman" w:cs="Times New Roman"/>
          <w:sz w:val="24"/>
          <w:szCs w:val="24"/>
        </w:rPr>
        <w:t>I</w:t>
      </w:r>
      <w:r w:rsidR="0066129F">
        <w:rPr>
          <w:rFonts w:ascii="Times New Roman" w:hAnsi="Times New Roman" w:cs="Times New Roman" w:hint="eastAsia"/>
          <w:sz w:val="24"/>
          <w:szCs w:val="24"/>
        </w:rPr>
        <w:t xml:space="preserve"> set up a sensitivity table as the following. </w:t>
      </w:r>
      <w:r w:rsidR="0066129F">
        <w:rPr>
          <w:rFonts w:ascii="Times New Roman" w:hAnsi="Times New Roman" w:cs="Times New Roman"/>
          <w:sz w:val="24"/>
          <w:szCs w:val="24"/>
        </w:rPr>
        <w:t>I</w:t>
      </w:r>
      <w:r w:rsidR="0066129F">
        <w:rPr>
          <w:rFonts w:ascii="Times New Roman" w:hAnsi="Times New Roman" w:cs="Times New Roman" w:hint="eastAsia"/>
          <w:sz w:val="24"/>
          <w:szCs w:val="24"/>
        </w:rPr>
        <w:t>t indicates that both factors are negat</w:t>
      </w:r>
      <w:r w:rsidR="00AA5858">
        <w:rPr>
          <w:rFonts w:ascii="Times New Roman" w:hAnsi="Times New Roman" w:cs="Times New Roman" w:hint="eastAsia"/>
          <w:sz w:val="24"/>
          <w:szCs w:val="24"/>
        </w:rPr>
        <w:t xml:space="preserve">ively related to the IRR. </w:t>
      </w:r>
      <w:proofErr w:type="gramStart"/>
      <w:r w:rsidR="00AA5858">
        <w:rPr>
          <w:rFonts w:ascii="Times New Roman" w:hAnsi="Times New Roman" w:cs="Times New Roman" w:hint="eastAsia"/>
          <w:sz w:val="24"/>
          <w:szCs w:val="24"/>
        </w:rPr>
        <w:t>T</w:t>
      </w:r>
      <w:r w:rsidR="003E648C">
        <w:rPr>
          <w:rFonts w:ascii="Times New Roman" w:hAnsi="Times New Roman" w:cs="Times New Roman" w:hint="eastAsia"/>
          <w:sz w:val="24"/>
          <w:szCs w:val="24"/>
        </w:rPr>
        <w:t xml:space="preserve">heoretically, </w:t>
      </w:r>
      <w:r w:rsidR="0066129F">
        <w:rPr>
          <w:rFonts w:ascii="Times New Roman" w:hAnsi="Times New Roman" w:cs="Times New Roman" w:hint="eastAsia"/>
          <w:sz w:val="24"/>
          <w:szCs w:val="24"/>
        </w:rPr>
        <w:t>the lower the</w:t>
      </w:r>
      <w:r w:rsidR="003E648C">
        <w:rPr>
          <w:rFonts w:ascii="Times New Roman" w:hAnsi="Times New Roman" w:cs="Times New Roman" w:hint="eastAsia"/>
          <w:sz w:val="24"/>
          <w:szCs w:val="24"/>
        </w:rPr>
        <w:t xml:space="preserve"> EBITDA</w:t>
      </w:r>
      <w:r w:rsidR="0066129F">
        <w:rPr>
          <w:rFonts w:ascii="Times New Roman" w:hAnsi="Times New Roman" w:cs="Times New Roman" w:hint="eastAsia"/>
          <w:sz w:val="24"/>
          <w:szCs w:val="24"/>
        </w:rPr>
        <w:t xml:space="preserve"> multiple and the lower the equity invest</w:t>
      </w:r>
      <w:r w:rsidR="003E648C">
        <w:rPr>
          <w:rFonts w:ascii="Times New Roman" w:hAnsi="Times New Roman" w:cs="Times New Roman" w:hint="eastAsia"/>
          <w:sz w:val="24"/>
          <w:szCs w:val="24"/>
        </w:rPr>
        <w:t>ment percentage, the higher the IRR to the financial sponsor (o</w:t>
      </w:r>
      <w:r w:rsidR="0066129F">
        <w:rPr>
          <w:rFonts w:ascii="Times New Roman" w:hAnsi="Times New Roman" w:cs="Times New Roman" w:hint="eastAsia"/>
          <w:sz w:val="24"/>
          <w:szCs w:val="24"/>
        </w:rPr>
        <w:t>pposite for unsecured lenders)</w:t>
      </w:r>
      <w:r w:rsidR="003E648C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3E648C">
        <w:rPr>
          <w:rFonts w:ascii="Times New Roman" w:hAnsi="Times New Roman" w:cs="Times New Roman" w:hint="eastAsia"/>
          <w:sz w:val="24"/>
          <w:szCs w:val="24"/>
        </w:rPr>
        <w:t xml:space="preserve"> However, the solvency risk to the acquirer would also climb up along with the increase of its IRR, and too much debt would make lenders doubt acquirer</w:t>
      </w:r>
      <w:r w:rsidR="003E648C">
        <w:rPr>
          <w:rFonts w:ascii="Times New Roman" w:hAnsi="Times New Roman" w:cs="Times New Roman"/>
          <w:sz w:val="24"/>
          <w:szCs w:val="24"/>
        </w:rPr>
        <w:t>’</w:t>
      </w:r>
      <w:r w:rsidR="001878F8">
        <w:rPr>
          <w:rFonts w:ascii="Times New Roman" w:hAnsi="Times New Roman" w:cs="Times New Roman" w:hint="eastAsia"/>
          <w:sz w:val="24"/>
          <w:szCs w:val="24"/>
        </w:rPr>
        <w:t>s repayment ability</w:t>
      </w:r>
      <w:r w:rsidR="003E648C">
        <w:rPr>
          <w:rFonts w:ascii="Times New Roman" w:hAnsi="Times New Roman" w:cs="Times New Roman" w:hint="eastAsia"/>
          <w:sz w:val="24"/>
          <w:szCs w:val="24"/>
        </w:rPr>
        <w:t xml:space="preserve"> and scare away potential lenders.</w:t>
      </w:r>
      <w:r w:rsidR="00AA5858">
        <w:rPr>
          <w:rFonts w:ascii="Times New Roman" w:hAnsi="Times New Roman" w:cs="Times New Roman" w:hint="eastAsia"/>
          <w:sz w:val="24"/>
          <w:szCs w:val="24"/>
        </w:rPr>
        <w:t xml:space="preserve"> Thus, acquirers have to tradeoff between risks and returns.</w:t>
      </w:r>
    </w:p>
    <w:p w:rsidR="00AA5858" w:rsidRDefault="00AA58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B53AC" w:rsidRPr="000B53AC" w:rsidRDefault="000B5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53AC">
        <w:rPr>
          <w:rFonts w:ascii="Times New Roman" w:hAnsi="Times New Roman" w:cs="Times New Roman" w:hint="eastAsia"/>
          <w:sz w:val="24"/>
          <w:szCs w:val="24"/>
          <w:u w:val="single"/>
        </w:rPr>
        <w:t>Sensitivity Tables</w:t>
      </w:r>
    </w:p>
    <w:p w:rsidR="000B53AC" w:rsidRPr="00C171D6" w:rsidRDefault="00CC2E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2E6D">
        <w:drawing>
          <wp:inline distT="0" distB="0" distL="0" distR="0" wp14:anchorId="18BC0C1B" wp14:editId="01292507">
            <wp:extent cx="5943600" cy="6429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53AC" w:rsidRPr="00C1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8"/>
    <w:rsid w:val="00095B0E"/>
    <w:rsid w:val="000B53AC"/>
    <w:rsid w:val="00170236"/>
    <w:rsid w:val="001878F8"/>
    <w:rsid w:val="003A1185"/>
    <w:rsid w:val="003E648C"/>
    <w:rsid w:val="0066129F"/>
    <w:rsid w:val="00811623"/>
    <w:rsid w:val="00AA5858"/>
    <w:rsid w:val="00BB6FC0"/>
    <w:rsid w:val="00C171D6"/>
    <w:rsid w:val="00C359A8"/>
    <w:rsid w:val="00C93AEC"/>
    <w:rsid w:val="00CC2E6D"/>
    <w:rsid w:val="00E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emf"/><Relationship Id="rId12" Type="http://schemas.openxmlformats.org/officeDocument/2006/relationships/image" Target="media/image8.tmp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tmp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Qinqi Wang</dc:creator>
  <cp:lastModifiedBy>Qinqi Wang</cp:lastModifiedBy>
  <cp:revision>6</cp:revision>
  <dcterms:created xsi:type="dcterms:W3CDTF">2013-12-08T02:29:00Z</dcterms:created>
  <dcterms:modified xsi:type="dcterms:W3CDTF">2013-12-08T19:05:00Z</dcterms:modified>
</cp:coreProperties>
</file>